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2 Final Model and Team Contributions</w:t>
      </w:r>
    </w:p>
    <w:p>
      <w:pPr>
        <w:spacing w:before="0"/>
      </w:pPr>
      <w:r>
        <w:t>DATA 4401 | Gil, Stanley and Dilraj | October 14, 2026</w:t>
      </w:r>
    </w:p>
    <w:p>
      <w:pPr>
        <w:spacing w:before="0"/>
      </w:pPr>
      <w:r>
        <w:t>We select one application-only neural network that adapts Dilraj’s richer modeling recipe to Gil’s controlled evaluation and error-analysis workflow. Gender is excluded; age remains. The selected checkpoint is seed 42, epoch 23, with a 0.167 score cutoff. This is the final technical model for the current course submission, subject to team verification of the error notes. It is not approved for real lending deployment.</w:t>
      </w:r>
    </w:p>
    <w:p>
      <w:pPr>
        <w:pStyle w:val="Heading2"/>
      </w:pPr>
      <w:r>
        <w:t>What each person contributed</w:t>
      </w:r>
    </w:p>
    <w:p>
      <w:pPr>
        <w:spacing w:before="0"/>
      </w:pPr>
      <w:r>
        <w:t>Stanley established a simple 64 → 32 neural-network reference and explored a larger network with batch normalization, dropout, class weighting and regularization. His saved results demonstrate the modeling progression. The final implementation uses train-only preprocessing and restores the best checkpoint; it does not inherit his notebook’s validation-preprocessing overlap, missing checkpoint restoration or accumulated-loss logging issue.</w:t>
      </w:r>
    </w:p>
    <w:p>
      <w:pPr>
        <w:spacing w:before="0"/>
      </w:pPr>
      <w:r>
        <w:t>Dilraj’s nn1 supplies the main ideas in the selected recipe: application-level financial ratios and score interactions, quantile preprocessing, a neural network with a direct linear connection, stronger regularization and validation-based checkpoint selection. We adapted the regularized_all recipe as a single network. We did not adopt his final ensemble, gender predictor or additional-history tables.</w:t>
      </w:r>
    </w:p>
    <w:p>
      <w:pPr>
        <w:spacing w:before="0"/>
      </w:pPr>
      <w:r>
        <w:t>Gil supplies the fixed train/blackbox/eyeball/test separation, gender exclusion, three-seed comparisons, F1 cutoff selection, fairness metrics, nonrandom deployment question, complete error inventory and hypothesis checks. These procedures established whether the borrowed modeling ideas helped under the same evaluation conditions.</w:t>
      </w:r>
    </w:p>
    <w:p>
      <w:pPr>
        <w:spacing w:before="0"/>
      </w:pPr>
      <w:r>
        <w:t>These contributions describe the named notebooks and the project history provided by the team. Other repository experiments are discussed as shared evidence where individual authorship is not established. The final model does not average Stanley’s, Dilraj’s and Gil’s predictions.</w:t>
      </w:r>
    </w:p>
    <w:p>
      <w:pPr>
        <w:pStyle w:val="Heading2"/>
      </w:pPr>
      <w:r>
        <w:t>The selected model at a glance</w:t>
      </w:r>
    </w:p>
    <w:tbl>
      <w:tblPr>
        <w:tblW w:type="auto" w:w="0"/>
        <w:jc w:val="center"/>
        <w:tblLayout w:type="fixed"/>
        <w:tblLook w:firstColumn="1" w:firstRow="1" w:lastColumn="0" w:lastRow="0" w:noHBand="0" w:noVBand="1" w:val="04A0"/>
      </w:tblPr>
      <w:tblGrid>
        <w:gridCol w:w="2880"/>
        <w:gridCol w:w="7344"/>
      </w:tblGrid>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pPr>
            <w:r>
              <w:rPr>
                <w:b/>
                <w:sz w:val="20"/>
              </w:rPr>
              <w:t>Component</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Selected choice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Predictors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Application data only; gender excluded</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Network</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128 and 64 hidden units plus a linear connection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Training</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AdamW, dropout, input noise and checkpoint selection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Operating cutoff</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0.167, selected by blackbox F1</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Main evaluation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Stratified source-population split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Error review</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81 errors from the fixed 500-applicant eyeball pool</w:t>
            </w:r>
          </w:p>
        </w:tc>
      </w:tr>
    </w:tbl>
    <w:p>
      <w:pPr>
        <w:pStyle w:val="Heading1"/>
        <w:pageBreakBefore/>
      </w:pPr>
      <w:r>
        <w:t>How the model processes an application</w:t>
      </w:r>
    </w:p>
    <w:p>
      <w:pPr>
        <w:pStyle w:val="Heading2"/>
      </w:pPr>
      <w:r>
        <w:t>The target and the input data</w:t>
      </w:r>
    </w:p>
    <w:p>
      <w:pPr>
        <w:spacing w:before="0"/>
      </w:pPr>
      <w:r>
        <w:t>TARGET 1 indicates recorded repayment difficulty. It should not be described as certain permanent default. A prediction of 0 is a favorable risk classification, not a loan approval. We use all 307,511 application_train records. TARGET and SK_ID_CURR are excluded from inputs; the ID is retained only for alignment and provenance. CODE_GENDER is excluded from prediction and retained separately for auditing.</w:t>
      </w:r>
    </w:p>
    <w:p>
      <w:pPr>
        <w:pStyle w:val="Heading2"/>
      </w:pPr>
      <w:r>
        <w:t>Cleaning and engineered features</w:t>
      </w:r>
    </w:p>
    <w:p>
      <w:pPr>
        <w:spacing w:before="0"/>
      </w:pPr>
      <w:r>
        <w:t>The employment placeholder 365243 is converted to missing and receives an indicator. Row-level features describe credit relative to income and annuity, goods price, household resources, employment and age, external-score combinations, missing information, contact/document counts and application hour. Division by zero produces missing values rather than an artificial extreme. These features use the applicant’s inputs, not labels or statistics learned from validation.</w:t>
      </w:r>
    </w:p>
    <w:p>
      <w:pPr>
        <w:spacing w:before="0"/>
      </w:pPr>
      <w:r>
        <w:t>External-score features include mean, spread, extremes, products and interactions with age and repayment burden. They make relationships explicit, but do not establish causes of repayment difficulty. Bureau-request fields already present in application_train are allowed; no bureau.csv, installment or previous-application features enter this network.</w:t>
      </w:r>
    </w:p>
    <w:p>
      <w:pPr>
        <w:pStyle w:val="Heading2"/>
      </w:pPr>
      <w:r>
        <w:t>Training-only transformations</w:t>
      </w:r>
    </w:p>
    <w:p>
      <w:pPr>
        <w:spacing w:before="0"/>
      </w:pPr>
      <w:r>
        <w:t>Continuous columns receive median imputation and a normal quantile transform fitted on training data with 512 quantiles and a fixed sampling seed. Categorical missing values receive an explicit category; rare categories are grouped and unseen values are handled safely. Binary inputs and missing indicators remain separate. Transformed values are clipped to −4 through 4; constant and exactly duplicate training columns are removed. The selected network receives 322 transformed inputs.</w:t>
      </w:r>
    </w:p>
    <w:p>
      <w:pPr>
        <w:pStyle w:val="Heading2"/>
      </w:pPr>
      <w:r>
        <w:t>The neural network</w:t>
      </w:r>
    </w:p>
    <w:p>
      <w:pPr>
        <w:spacing w:before="0"/>
      </w:pPr>
      <w:r>
        <w:t>A nonlinear branch contains 128 and 64 units with batch normalization, SiLU activation and dropout 0.35. Input dropout is 0.08. A parallel linear branch connects the inputs directly to the output; its bias starts at the log odds of the training class prior. The branches produce one logit, converted to a score by the sigmoid function.</w:t>
      </w:r>
    </w:p>
    <w:p>
      <w:pPr>
        <w:spacing w:before="0"/>
      </w:pPr>
      <w:r>
        <w:t>Training uses unweighted binary cross-entropy, AdamW learning rate 0.001 and weight decay 0.03, batches of 2,048, Gaussian input noise 0.02 and gradient clipping at 5. A plateau scheduler lowers the learning rate. Training allows up to 40 epochs, stops after seven epochs without material validation-AUC improvement, and restores the best checkpoint. The fixed seed-42 checkpoint was selected at epoch 23.</w:t>
      </w:r>
    </w:p>
    <w:p>
      <w:pPr>
        <w:pStyle w:val="Heading2"/>
      </w:pPr>
      <w:r>
        <w:t>What the threshold means</w:t>
      </w:r>
    </w:p>
    <w:p>
      <w:pPr>
        <w:spacing w:before="0"/>
      </w:pPr>
      <w:r>
        <w:t>The model flags a record when its score is at least 0.167. This cutoff maximized blackbox F1 on the predeclared 0.001 grid from 0.01 to 0.50. It belongs to this checkpoint; the old model’s 0.121 cutoff is not transferable. Scores are not certified calibrated probabilities, and F1 is a course operating objective because business error costs were not supplied.</w:t>
      </w:r>
    </w:p>
    <w:p>
      <w:pPr>
        <w:pStyle w:val="Heading1"/>
        <w:pageBreakBefore/>
      </w:pPr>
      <w:r>
        <w:t>Why we selected this model</w:t>
      </w:r>
    </w:p>
    <w:p>
      <w:pPr>
        <w:spacing w:before="0"/>
      </w:pPr>
      <w:r>
        <w:t>The earlier 24-fit audit found no sufficiently consistent improvement among simpler architecture, age-removal, weight-decay and feature variants. Peer review then introduced a richer combined recipe that had not been tested in that audit. We compared it on the same 184,506 training and 61,002 blackbox records, excluding gender and additional datasets, across seeds 42, 43 and 44.</w:t>
      </w:r>
    </w:p>
    <w:tbl>
      <w:tblPr>
        <w:tblW w:type="auto" w:w="0"/>
        <w:jc w:val="center"/>
        <w:tblLayout w:type="fixed"/>
        <w:tblLook w:firstColumn="1" w:firstRow="1" w:lastColumn="0" w:lastRow="0" w:noHBand="0" w:noVBand="1" w:val="04A0"/>
      </w:tblPr>
      <w:tblGrid>
        <w:gridCol w:w="5472"/>
        <w:gridCol w:w="1584"/>
        <w:gridCol w:w="1584"/>
        <w:gridCol w:w="1584"/>
      </w:tblGrid>
      <w:tr>
        <w:trPr>
          <w:cantSplit/>
        </w:trPr>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pPr>
            <w:r>
              <w:rPr>
                <w:b/>
                <w:sz w:val="20"/>
              </w:rPr>
              <w:t>Recipe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Mean AUC</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Mean F1</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AUC wins</w:t>
            </w:r>
          </w:p>
        </w:tc>
      </w:tr>
      <w:tr>
        <w:trPr>
          <w:cantSplit/>
        </w:trPr>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Previous 64 / 32 model</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0.747075</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0.296473</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Reference</w:t>
            </w:r>
          </w:p>
        </w:tc>
      </w:tr>
      <w:tr>
        <w:trPr>
          <w:cantSplit/>
        </w:trPr>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Peer preprocessing with old network</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0.745818</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0.291678</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 of 3</w:t>
            </w:r>
          </w:p>
        </w:tc>
      </w:tr>
      <w:tr>
        <w:trPr>
          <w:cantSplit/>
        </w:trPr>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Full application-only peer recipe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0.754961</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0.302354</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3 of 3</w:t>
            </w:r>
          </w:p>
        </w:tc>
      </w:tr>
    </w:tbl>
    <w:p>
      <w:pPr>
        <w:spacing w:before="100"/>
      </w:pPr>
      <w:r>
        <w:t>The full recipe met the recorded switching rule: mean AUC gain at least 0.001 and improvement in every seed. Its actual mean gain was 0.007886. F1 also improved in every seed. This compares complete recipes; it does not isolate which component caused the gain. Three initialization seeds on one partition are not independent population replications.</w:t>
      </w:r>
    </w:p>
    <w:p>
      <w:pPr>
        <w:pStyle w:val="Heading2"/>
      </w:pPr>
      <w:r>
        <w:t>Recall and fairness tradeoffs</w:t>
      </w:r>
    </w:p>
    <w:p>
      <w:pPr>
        <w:spacing w:before="0"/>
      </w:pPr>
      <w:r>
        <w:t>At each run’s F1 cutoff, mean recall fell from 44.07% to 41.16% while mean FPR fell from 13.46% to 11.52%. At matched overall FPR, mean recall rose slightly from 44.07% to 44.81%, while mean gender and age FPR gaps widened from 5.67 to 6.55 points and 22.30 to 23.34 points. We selected the model for its ranking/F1 improvement within the course scope and report the fairness tradeoff rather than describing it as universally better.</w:t>
      </w:r>
    </w:p>
    <w:p>
      <w:pPr>
        <w:pStyle w:val="Heading2"/>
      </w:pPr>
      <w:r>
        <w:t>Frozen seed 42 results</w:t>
      </w:r>
    </w:p>
    <w:tbl>
      <w:tblPr>
        <w:tblW w:type="auto" w:w="0"/>
        <w:jc w:val="center"/>
        <w:tblLayout w:type="fixed"/>
        <w:tblLook w:firstColumn="1" w:firstRow="1" w:lastColumn="0" w:lastRow="0" w:noHBand="0" w:noVBand="1" w:val="04A0"/>
      </w:tblPr>
      <w:tblGrid>
        <w:gridCol w:w="4752"/>
        <w:gridCol w:w="2736"/>
        <w:gridCol w:w="2736"/>
      </w:tblGrid>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pPr>
            <w:r>
              <w:rPr>
                <w:b/>
                <w:sz w:val="20"/>
              </w:rPr>
              <w:t>Metric</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Blackbox</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Test</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Applicants</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61,002</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61,503</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AUC</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0.7547</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0.7567</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Accuracy</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85.25%</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85.51%</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Precision</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24.47%</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24.97%</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Recall</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39.61%</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39.66%</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F1</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0.3026</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0.3065</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False-positive rate</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10.74%</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10.46%</w:t>
            </w:r>
          </w:p>
        </w:tc>
      </w:tr>
    </w:tbl>
    <w:p>
      <w:pPr>
        <w:spacing w:before="100"/>
      </w:pPr>
      <w:r>
        <w:t>At the final test cutoff there are 50,623 true negatives, 5,915 false positives, 2,996 false negatives and 1,969 true positives. The previous model’s test AUC was 0.7495 and F1 0.3006. Always predicting no difficulty gives about 91.9% accuracy but zero difficulty recall, so accuracy alone is misleading.</w:t>
      </w:r>
    </w:p>
    <w:p>
      <w:pPr>
        <w:spacing w:before="0"/>
      </w:pPr>
      <w:r>
        <w:t>Training AUC is 0.7764 versus blackbox 0.7547: a gap of 0.0216. The new model generalizes better by AUC than the previous model, although this gap is larger. We have evidence supporting regularization and checkpoint selection, not proof of an optimal bias–variance balance or that the remaining errors are irreducible.</w:t>
      </w:r>
    </w:p>
    <w:p>
      <w:pPr>
        <w:pStyle w:val="Heading1"/>
        <w:pageBreakBefore/>
      </w:pPr>
      <w:r>
        <w:t>Splits and fairness define the limits</w:t>
      </w:r>
    </w:p>
    <w:p>
      <w:pPr>
        <w:pStyle w:val="Heading2"/>
      </w:pPr>
      <w:r>
        <w:t>Three questions with the same modeling recipe</w:t>
      </w:r>
    </w:p>
    <w:p>
      <w:pPr>
        <w:spacing w:before="0"/>
      </w:pPr>
      <w:r>
        <w:t>Stratified splitting is the main evaluation for applicants similar to the source population. Random splitting uses the same train/dev/test counts without target stratification. The nonrandom scenario trains and tunes on applicants with a recorded earlier Home Credit application and tests on those without one. Previous-application history determines membership only. All 500 eyeball applicants are excluded from both alternative protocols.</w:t>
      </w:r>
    </w:p>
    <w:tbl>
      <w:tblPr>
        <w:tblW w:type="auto" w:w="0"/>
        <w:jc w:val="center"/>
        <w:tblLayout w:type="fixed"/>
        <w:tblLook w:firstColumn="1" w:firstRow="1" w:lastColumn="0" w:lastRow="0" w:noHBand="0" w:noVBand="1" w:val="04A0"/>
      </w:tblPr>
      <w:tblGrid>
        <w:gridCol w:w="3888"/>
        <w:gridCol w:w="1584"/>
        <w:gridCol w:w="1584"/>
        <w:gridCol w:w="1584"/>
        <w:gridCol w:w="1584"/>
      </w:tblGrid>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pPr>
            <w:r>
              <w:rPr>
                <w:b/>
                <w:sz w:val="20"/>
              </w:rPr>
              <w:t>Test protocol</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AUC</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F1</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Recall</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FPR</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Stratified</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0.7567</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0.3065</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39.66%</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10.46%</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Random</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0.7572</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0.3043</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40.32%</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11.01%</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No prior application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0.7637</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0.2600</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30.88%</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6.75%</w:t>
            </w:r>
          </w:p>
        </w:tc>
      </w:tr>
    </w:tbl>
    <w:p>
      <w:pPr>
        <w:spacing w:before="100"/>
      </w:pPr>
      <w:r>
        <w:t>Each alternative fits its own training-only transformations, selects a checkpoint on its dev set, and freezes a dev-selected F1 cutoff before test inference. Random uses 0.166. No-prior-application uses 0.134, with 232,472 training, 58,118 dev and 16,421 test applicants. Its test prevalence is 5.96%, versus about 8.07% for stratified. Scores across these populations do not identify a best split.</w:t>
      </w:r>
    </w:p>
    <w:p>
      <w:pPr>
        <w:spacing w:before="0"/>
      </w:pPr>
      <w:r>
        <w:t>The new model’s no-prior-application AUC and F1 are lower than the previous model’s 0.7685 and 0.2686. Thus the improvement is not universal. This scenario tests transfer without adapting to new-client dev data. If real deployment targets new clients, separate representative dev data would be needed. Missing prior records do not establish absence of all credit history.</w:t>
      </w:r>
    </w:p>
    <w:p>
      <w:pPr>
        <w:pStyle w:val="Heading2"/>
      </w:pPr>
      <w:r>
        <w:t>Fairness at the selected main cutoff</w:t>
      </w:r>
    </w:p>
    <w:tbl>
      <w:tblPr>
        <w:tblW w:type="auto" w:w="0"/>
        <w:jc w:val="center"/>
        <w:tblLayout w:type="fixed"/>
        <w:tblLook w:firstColumn="1" w:firstRow="1" w:lastColumn="0" w:lastRow="0" w:noHBand="0" w:noVBand="1" w:val="04A0"/>
      </w:tblPr>
      <w:tblGrid>
        <w:gridCol w:w="4752"/>
        <w:gridCol w:w="2736"/>
        <w:gridCol w:w="2736"/>
      </w:tblGrid>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pPr>
            <w:r>
              <w:rPr>
                <w:b/>
                <w:sz w:val="20"/>
              </w:rPr>
              <w:t>Blackbox group</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FPR</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Difficulty recall</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Women</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8.90%</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35.67%</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Men</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14.41%</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44.89%</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Under 30</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22.02%</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55.11%</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60 and older</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2.42%</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11.75%</w:t>
            </w:r>
          </w:p>
        </w:tc>
      </w:tr>
    </w:tbl>
    <w:p>
      <w:pPr>
        <w:spacing w:before="100"/>
      </w:pPr>
      <w:r>
        <w:t>We prioritize FPR parity because false alarms can disadvantage applicants without recorded difficulty. We also report recall, precision, NPV and favorable-prediction rates with denominators and descriptive Wilson intervals. Equalized odds considers both FPR and recall. For the favorable outcome, opportunity corresponds to specificity, or 1 minus FPR. The one-person XNA category cannot support a reliable group comparison.</w:t>
      </w:r>
    </w:p>
    <w:p>
      <w:pPr>
        <w:spacing w:before="0"/>
      </w:pPr>
      <w:r>
        <w:t>Gender exclusion does not remove proxies or guarantee fairness. Age remains as an explicit performance/fairness tradeoff; its earlier ablation concerned the previous model, not proof of optimal age treatment in this final recipe. No client-approved disparity tolerance exists. These results do not establish legal compliance or deployment acceptance.</w:t>
      </w:r>
    </w:p>
    <w:p>
      <w:pPr>
        <w:pStyle w:val="Heading1"/>
        <w:pageBreakBefore/>
      </w:pPr>
      <w:r>
        <w:t>What the new error analysis tells us</w:t>
      </w:r>
    </w:p>
    <w:p>
      <w:pPr>
        <w:spacing w:before="0"/>
      </w:pPr>
      <w:r>
        <w:t>The fixed eyeball pool contains 500 applicants and 40 actual difficulty cases. The final model makes 81 errors: 53 false positives and 28 false negatives. It corrects 21 previous errors, introduces 7 and retains 74; 398 applicants are correct under both models. These counts were obtained after selection and did not select the checkpoint or cutoff.</w:t>
      </w:r>
    </w:p>
    <w:p>
      <w:pPr>
        <w:spacing w:before="0"/>
      </w:pPr>
      <w:r>
        <w:t>Every error receives factual draft notes, relevant features, a suspected pattern, a proposed check and reviewer fields. Seventy-six errors have a correctly classified comparison with the same actual class and EXT_SOURCE_2 within 0.05; five are unmatched. Matching uses the eyeball pool with replacement. It helps challenge an explanation but does not control every difference or prove causation.</w:t>
      </w:r>
    </w:p>
    <w:p>
      <w:pPr>
        <w:pStyle w:val="Heading2"/>
      </w:pPr>
      <w:r>
        <w:t>Nine hypotheses rechecked on the same blackbox</w:t>
      </w:r>
    </w:p>
    <w:tbl>
      <w:tblPr>
        <w:tblW w:type="auto" w:w="0"/>
        <w:jc w:val="center"/>
        <w:tblLayout w:type="fixed"/>
        <w:tblLook w:firstColumn="1" w:firstRow="1" w:lastColumn="0" w:lastRow="0" w:noHBand="0" w:noVBand="1" w:val="04A0"/>
      </w:tblPr>
      <w:tblGrid>
        <w:gridCol w:w="2880"/>
        <w:gridCol w:w="7344"/>
      </w:tblGrid>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pPr>
            <w:r>
              <w:rPr>
                <w:b/>
                <w:sz w:val="20"/>
              </w:rPr>
              <w:t>Hypothesis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Updated evidence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H1 Very low EXT2 overprediction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Mean score 23.67% versus observed 23.02%; the difference interval includes zero. Large overprediction is not established.</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H2 Credit above 4 times income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Score-adjusted FPR difference is −0.43 points, versus +1.61 previously. The earlier higher-FPR association no longer holds.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H3 Younger overprediction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Under-30 mean score 12.37% versus 11.31% observed. Gap +1.05 points, descriptive interval +0.42 to +1.68. Modest overprediction now appears.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H4 Older high EXT2 misses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704 of 785 difficulty cases are missed (89.68%), versus 54.83% among other positives. This weakness persists.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H5 Younger low EXT3 false alarms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554 of 1,037 actual negatives are flagged (53.42%), versus 9.93% among other negatives. The pattern persists.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H6 Missing external scores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Error rate 15.54% versus 13.31% with complete scores; FPR is higher but FNR lower. Effects are mixed.</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H7 Near the cutoff</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Near-cutoff error rate is 44.09%, but only 16.88% of all blackbox errors lie within 0.02. Most errors are elsewhere.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H8 Conflicting external scores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Error rate 25.53% versus 12.48% among other observed pairs. This association remains.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H9 Employment sentinel</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Overall error is lower, but 476 of 574 positive cases are missed (82.93%). Cleaning the sentinel did not remove this subgroup weakness.</w:t>
            </w:r>
          </w:p>
        </w:tc>
      </w:tr>
    </w:tbl>
    <w:p>
      <w:pPr>
        <w:spacing w:before="100"/>
      </w:pPr>
      <w:r>
        <w:t>These are exploratory associations on repeatedly used blackbox data. Intervals condition on model selection and do not correct multiple hypothesis checks. H2 uses coarse score strata, not complete causal control. H3 does not prove that calibration explains the whole age FPR gap. Definitions were held fixed from the prior review rather than searched again for favorable results.</w:t>
      </w:r>
    </w:p>
    <w:p>
      <w:pPr>
        <w:pStyle w:val="Heading1"/>
        <w:pageBreakBefore/>
      </w:pPr>
      <w:r>
        <w:t>Final files and remaining team work</w:t>
      </w:r>
    </w:p>
    <w:p>
      <w:pPr>
        <w:pStyle w:val="Heading2"/>
      </w:pPr>
      <w:r>
        <w:t>The files that belong together</w:t>
      </w:r>
    </w:p>
    <w:tbl>
      <w:tblPr>
        <w:tblW w:type="auto" w:w="0"/>
        <w:jc w:val="center"/>
        <w:tblLayout w:type="fixed"/>
        <w:tblLook w:firstColumn="1" w:firstRow="1" w:lastColumn="0" w:lastRow="0" w:noHBand="0" w:noVBand="1" w:val="04A0"/>
      </w:tblPr>
      <w:tblGrid>
        <w:gridCol w:w="3600"/>
        <w:gridCol w:w="6624"/>
      </w:tblGrid>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pPr>
            <w:r>
              <w:rPr>
                <w:b/>
                <w:sz w:val="20"/>
              </w:rPr>
              <w:t>File</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Purpose</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Final_Project_Model.ipynb</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Loads/evaluates the frozen selected model; displays training recipe, selection evidence, fairness and three splits.</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Final_Error_Analysis.ipynb</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Exports all selected-model eyeball errors and comparisons; rechecks the nine hypotheses.</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Final_Error_Analysis.csv</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81 current error rows with draft notes and human-review fields. This replaces the old95-row CSV for the selected model.</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final_project/model.py</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Readable preprocessing, feature engineering, network, training and evaluation implementation.</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final_project/selected</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Frozen checkpoint, fitted preprocessing, split manifest, predictions and metrics.</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final_project/error_analysis and hypotheses</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Supporting comparisons, group metrics, transition counts and hypothesis results.</w:t>
            </w:r>
          </w:p>
        </w:tc>
      </w:tr>
    </w:tbl>
    <w:p>
      <w:pPr>
        <w:spacing w:before="100"/>
      </w:pPr>
      <w:r>
        <w:t>Run notebooks from the repository root with application_train.csv. Requirements are recorded in requirements_final.txt. Default model evaluation uses the included checkpoint. RETRAIN=True writes a separate retrained run; it does not silently replace the selected checkpoint or CSV. Rerunning alternate training requires previous_application.csv. Raw Kaggle files are not committed.</w:t>
      </w:r>
    </w:p>
    <w:p>
      <w:pPr>
        <w:pStyle w:val="Heading2"/>
      </w:pPr>
      <w:r>
        <w:t>What is technically complete</w:t>
      </w:r>
    </w:p>
    <w:p>
      <w:pPr>
        <w:spacing w:before="0"/>
      </w:pPr>
      <w:r>
        <w:t>Model selection and threshold are fixed, the three protocols have been run, the error inventory matches the checkpoint, fairness is reported, and prior hypotheses have been refreshed. The code verifies applicant alignment, split separation, exclusion of gender/target/ID predictors, finite transformations and prediction consistency. No model selection uses the new eyeball/test results.</w:t>
      </w:r>
    </w:p>
    <w:p>
      <w:pPr>
        <w:pStyle w:val="Heading2"/>
      </w:pPr>
      <w:r>
        <w:t>What still requires the team</w:t>
      </w:r>
    </w:p>
    <w:p>
      <w:pPr>
        <w:spacing w:before="0"/>
      </w:pPr>
      <w:r>
        <w:t>Read and verify the 81 draft case notes and fill reviewer, team_review_status and team_comment. Automated factual checks and assistant drafts do not constitute team signoff. The presentation and written report should explain the recall/fairness tradeoff, the weaker new-client transfer result and why additional data were omitted for scope. Do not call the model deployment-ready or claim a pristine final holdout: earlier development already exposed overlapping dev/test data.</w:t>
      </w:r>
    </w:p>
    <w:p>
      <w:pPr>
        <w:spacing w:before="0"/>
      </w:pPr>
      <w:r>
        <w:t>There is no demonstrated label corruption, so errors have not been relabeled or removed merely to improve scores. Additional feature experiments can remain historical evidence. Freeze the selected version for submission unless a concrete error in data processing or evaluation is found.</w:t>
      </w:r>
    </w:p>
    <w:p>
      <w:pPr>
        <w:pStyle w:val="Heading2"/>
      </w:pPr>
      <w:r>
        <w:t>Source and attribution record</w:t>
      </w:r>
    </w:p>
    <w:p>
      <w:pPr>
        <w:spacing w:before="0"/>
      </w:pPr>
      <w:r>
        <w:t>Peer notebooks reviewed at GitHub commit e2a1de71249f46df8a83a30632ef258ba52477be: Stanley_Project_2_NN_Model.ipynb, nn1.ipynb, nn1_Improvement.ipynb and the shared baseline, history and nonrandom-split experiments. The controlled adaptation is documented in Peer_Review.md and peer_review/20261014. Gil’s prior decisions are documented in Decision_Audit.md. The final selection and outputs are in final_project. Repository: https://github.com/Dilraj112358/4401Project2.</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 Final Model and Team Contributions</dc:title>
  <dc:subject/>
  <dc:creator>Gil Lazar</dc:creator>
  <cp:keywords/>
  <dc:description>generated by python-docx</dc:description>
  <cp:lastModifiedBy/>
  <cp:revision>1</cp:revision>
  <dcterms:created xsi:type="dcterms:W3CDTF">2013-12-23T23:15:00Z</dcterms:created>
  <dcterms:modified xsi:type="dcterms:W3CDTF">2013-12-23T23:15:00Z</dcterms:modified>
  <cp:category/>
</cp:coreProperties>
</file>