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8A06" w14:textId="77777777" w:rsidR="008132D5" w:rsidRDefault="008132D5" w:rsidP="008132D5">
      <w:pPr>
        <w:pStyle w:val="Title"/>
      </w:pPr>
      <w:r w:rsidRPr="008132D5">
        <w:t>Week 7 Lecture Notes: Support Vector Machines</w:t>
      </w:r>
    </w:p>
    <w:p w14:paraId="6C5D3D13" w14:textId="77777777" w:rsidR="008132D5" w:rsidRPr="008132D5" w:rsidRDefault="008132D5" w:rsidP="008132D5"/>
    <w:p w14:paraId="4FF1EB29" w14:textId="77777777" w:rsidR="008132D5" w:rsidRPr="008132D5" w:rsidRDefault="008132D5" w:rsidP="008132D5">
      <w:pPr>
        <w:rPr>
          <w:b/>
          <w:bCs/>
        </w:rPr>
      </w:pPr>
      <w:r w:rsidRPr="008132D5">
        <w:rPr>
          <w:b/>
          <w:bCs/>
        </w:rPr>
        <w:t>Optimization Objective:</w:t>
      </w:r>
    </w:p>
    <w:p w14:paraId="0ED75BCA" w14:textId="77777777" w:rsidR="008132D5" w:rsidRPr="008132D5" w:rsidRDefault="008132D5" w:rsidP="008132D5">
      <w:pPr>
        <w:numPr>
          <w:ilvl w:val="0"/>
          <w:numId w:val="1"/>
        </w:numPr>
      </w:pPr>
      <w:r w:rsidRPr="008132D5">
        <w:rPr>
          <w:b/>
          <w:bCs/>
        </w:rPr>
        <w:t>Support Vector Machine (SVM)</w:t>
      </w:r>
      <w:r w:rsidRPr="008132D5">
        <w:t xml:space="preserve">: A type of supervised machine learning algorithm. </w:t>
      </w:r>
      <w:proofErr w:type="gramStart"/>
      <w:r w:rsidRPr="008132D5">
        <w:t>Advantageous</w:t>
      </w:r>
      <w:proofErr w:type="gramEnd"/>
      <w:r w:rsidRPr="008132D5">
        <w:t xml:space="preserve"> for being clean and powerful.</w:t>
      </w:r>
    </w:p>
    <w:p w14:paraId="76E90A54" w14:textId="77777777" w:rsidR="008132D5" w:rsidRPr="008132D5" w:rsidRDefault="008132D5" w:rsidP="008132D5">
      <w:pPr>
        <w:numPr>
          <w:ilvl w:val="1"/>
          <w:numId w:val="1"/>
        </w:numPr>
      </w:pPr>
      <w:r w:rsidRPr="008132D5">
        <w:t>Logistic Regression:</w:t>
      </w:r>
    </w:p>
    <w:p w14:paraId="653E3053" w14:textId="77777777" w:rsidR="008132D5" w:rsidRPr="008132D5" w:rsidRDefault="008132D5" w:rsidP="008132D5">
      <w:pPr>
        <w:numPr>
          <w:ilvl w:val="2"/>
          <w:numId w:val="1"/>
        </w:numPr>
      </w:pPr>
      <w:r w:rsidRPr="008132D5">
        <w:t xml:space="preserve">For y=1y=1: </w:t>
      </w:r>
      <w:proofErr w:type="spellStart"/>
      <w:r w:rsidRPr="008132D5">
        <w:t>hθ</w:t>
      </w:r>
      <w:proofErr w:type="spellEnd"/>
      <w:r w:rsidRPr="008132D5">
        <w:t xml:space="preserve">(x)≈1hθ​(x)≈1 and </w:t>
      </w:r>
      <w:proofErr w:type="spellStart"/>
      <w:r w:rsidRPr="008132D5">
        <w:t>ΘTx</w:t>
      </w:r>
      <w:proofErr w:type="spellEnd"/>
      <w:r w:rsidRPr="008132D5">
        <w:t>&gt;&gt;0ΘTx&gt;&gt;0</w:t>
      </w:r>
    </w:p>
    <w:p w14:paraId="1DD0CB14" w14:textId="77777777" w:rsidR="008132D5" w:rsidRPr="008132D5" w:rsidRDefault="008132D5" w:rsidP="008132D5">
      <w:pPr>
        <w:numPr>
          <w:ilvl w:val="2"/>
          <w:numId w:val="1"/>
        </w:numPr>
      </w:pPr>
      <w:r w:rsidRPr="008132D5">
        <w:t xml:space="preserve">For y=0y=0: </w:t>
      </w:r>
      <w:proofErr w:type="spellStart"/>
      <w:r w:rsidRPr="008132D5">
        <w:t>hθ</w:t>
      </w:r>
      <w:proofErr w:type="spellEnd"/>
      <w:r w:rsidRPr="008132D5">
        <w:t xml:space="preserve">(x)≈0hθ​(x)≈0 and </w:t>
      </w:r>
      <w:proofErr w:type="spellStart"/>
      <w:r w:rsidRPr="008132D5">
        <w:t>ΘTx</w:t>
      </w:r>
      <w:proofErr w:type="spellEnd"/>
      <w:r w:rsidRPr="008132D5">
        <w:t>&lt;&lt;0ΘTx&lt;&lt;0</w:t>
      </w:r>
    </w:p>
    <w:p w14:paraId="6E0B7975" w14:textId="77777777" w:rsidR="008132D5" w:rsidRPr="008132D5" w:rsidRDefault="008132D5" w:rsidP="008132D5">
      <w:pPr>
        <w:numPr>
          <w:ilvl w:val="1"/>
          <w:numId w:val="1"/>
        </w:numPr>
      </w:pPr>
      <w:r w:rsidRPr="008132D5">
        <w:rPr>
          <w:b/>
          <w:bCs/>
        </w:rPr>
        <w:t>Modifications in Cost Function for SVM</w:t>
      </w:r>
      <w:r w:rsidRPr="008132D5">
        <w:t>:</w:t>
      </w:r>
    </w:p>
    <w:p w14:paraId="493F6A60" w14:textId="77777777" w:rsidR="008132D5" w:rsidRPr="008132D5" w:rsidRDefault="008132D5" w:rsidP="008132D5">
      <w:pPr>
        <w:numPr>
          <w:ilvl w:val="2"/>
          <w:numId w:val="1"/>
        </w:numPr>
      </w:pPr>
      <w:r w:rsidRPr="008132D5">
        <w:t>Instead of sigmoid curve in logistic regression, SVM uses a straight line for the costs.</w:t>
      </w:r>
    </w:p>
    <w:p w14:paraId="20E0BBDE" w14:textId="77777777" w:rsidR="008132D5" w:rsidRPr="008132D5" w:rsidRDefault="008132D5" w:rsidP="008132D5">
      <w:pPr>
        <w:numPr>
          <w:ilvl w:val="2"/>
          <w:numId w:val="1"/>
        </w:numPr>
      </w:pPr>
      <w:r w:rsidRPr="008132D5">
        <w:t>cost1(z)=max</w:t>
      </w:r>
      <w:r w:rsidRPr="008132D5">
        <w:rPr>
          <w:rFonts w:ascii="Cambria Math" w:hAnsi="Cambria Math" w:cs="Cambria Math"/>
        </w:rPr>
        <w:t>⁡</w:t>
      </w:r>
      <w:r w:rsidRPr="008132D5">
        <w:t>(</w:t>
      </w:r>
      <w:proofErr w:type="gramStart"/>
      <w:r w:rsidRPr="008132D5">
        <w:t>0,k</w:t>
      </w:r>
      <w:proofErr w:type="gramEnd"/>
      <w:r w:rsidRPr="008132D5">
        <w:t>(1</w:t>
      </w:r>
      <w:r w:rsidRPr="008132D5">
        <w:rPr>
          <w:rFonts w:ascii="Calibri" w:hAnsi="Calibri" w:cs="Calibri"/>
        </w:rPr>
        <w:t>−</w:t>
      </w:r>
      <w:r w:rsidRPr="008132D5">
        <w:t>z))cost1​(z)=max(0,k(1−z)) for y=1y=1</w:t>
      </w:r>
    </w:p>
    <w:p w14:paraId="68940911" w14:textId="77777777" w:rsidR="008132D5" w:rsidRPr="008132D5" w:rsidRDefault="008132D5" w:rsidP="008132D5">
      <w:pPr>
        <w:numPr>
          <w:ilvl w:val="2"/>
          <w:numId w:val="1"/>
        </w:numPr>
      </w:pPr>
      <w:r w:rsidRPr="008132D5">
        <w:t>cost0(z)=max</w:t>
      </w:r>
      <w:r w:rsidRPr="008132D5">
        <w:rPr>
          <w:rFonts w:ascii="Cambria Math" w:hAnsi="Cambria Math" w:cs="Cambria Math"/>
        </w:rPr>
        <w:t>⁡</w:t>
      </w:r>
      <w:r w:rsidRPr="008132D5">
        <w:t>(</w:t>
      </w:r>
      <w:proofErr w:type="gramStart"/>
      <w:r w:rsidRPr="008132D5">
        <w:t>0,k</w:t>
      </w:r>
      <w:proofErr w:type="gramEnd"/>
      <w:r w:rsidRPr="008132D5">
        <w:t>(1+z))cost0​(z)=max(0,k(1+z)) for y=0y=0</w:t>
      </w:r>
    </w:p>
    <w:p w14:paraId="122CADB7" w14:textId="77777777" w:rsidR="008132D5" w:rsidRPr="008132D5" w:rsidRDefault="008132D5" w:rsidP="008132D5">
      <w:pPr>
        <w:numPr>
          <w:ilvl w:val="2"/>
          <w:numId w:val="1"/>
        </w:numPr>
      </w:pPr>
      <w:r w:rsidRPr="008132D5">
        <w:rPr>
          <w:b/>
          <w:bCs/>
        </w:rPr>
        <w:t>SVM Cost Function</w:t>
      </w:r>
      <w:r w:rsidRPr="008132D5">
        <w:t>: J(θ)=C∑i=1m[y(i)cost1(θTx(i</w:t>
      </w:r>
      <w:proofErr w:type="gramStart"/>
      <w:r w:rsidRPr="008132D5">
        <w:t>))+(</w:t>
      </w:r>
      <w:proofErr w:type="gramEnd"/>
      <w:r w:rsidRPr="008132D5">
        <w:t>1−y(i))cost0(θTx(i))]+12∑j=1nΘj2J(θ)=C∑i=1m​[y(i)cost1​(θTx(i))+(1−y(i))cost0​(θTx(i))]+21​∑j=1n​Θj2​</w:t>
      </w:r>
    </w:p>
    <w:p w14:paraId="57110578" w14:textId="77777777" w:rsidR="008132D5" w:rsidRPr="008132D5" w:rsidRDefault="008132D5" w:rsidP="008132D5">
      <w:pPr>
        <w:numPr>
          <w:ilvl w:val="1"/>
          <w:numId w:val="1"/>
        </w:numPr>
      </w:pPr>
      <w:r w:rsidRPr="008132D5">
        <w:rPr>
          <w:b/>
          <w:bCs/>
        </w:rPr>
        <w:t>Interpretation of Hypothesis</w:t>
      </w:r>
      <w:r w:rsidRPr="008132D5">
        <w:t>:</w:t>
      </w:r>
    </w:p>
    <w:p w14:paraId="430BAB14" w14:textId="77777777" w:rsidR="008132D5" w:rsidRPr="008132D5" w:rsidRDefault="008132D5" w:rsidP="008132D5">
      <w:pPr>
        <w:numPr>
          <w:ilvl w:val="2"/>
          <w:numId w:val="1"/>
        </w:numPr>
      </w:pPr>
      <w:r w:rsidRPr="008132D5">
        <w:t xml:space="preserve">In SVM: </w:t>
      </w:r>
      <w:proofErr w:type="spellStart"/>
      <w:r w:rsidRPr="008132D5">
        <w:t>hθ</w:t>
      </w:r>
      <w:proofErr w:type="spellEnd"/>
      <w:r w:rsidRPr="008132D5">
        <w:t xml:space="preserve">(x)=1hθ​(x)=1 if ΘTx≥0ΘTx≥0 and </w:t>
      </w:r>
      <w:proofErr w:type="spellStart"/>
      <w:r w:rsidRPr="008132D5">
        <w:t>hθ</w:t>
      </w:r>
      <w:proofErr w:type="spellEnd"/>
      <w:r w:rsidRPr="008132D5">
        <w:t>(x)=0hθ​(x)=0 otherwise. Not viewed as a probability.</w:t>
      </w:r>
    </w:p>
    <w:p w14:paraId="31AEF9FB" w14:textId="77777777" w:rsidR="008132D5" w:rsidRPr="008132D5" w:rsidRDefault="008132D5" w:rsidP="008132D5">
      <w:pPr>
        <w:rPr>
          <w:b/>
          <w:bCs/>
        </w:rPr>
      </w:pPr>
      <w:r w:rsidRPr="008132D5">
        <w:rPr>
          <w:b/>
          <w:bCs/>
        </w:rPr>
        <w:t>Large Margin Intuition:</w:t>
      </w:r>
    </w:p>
    <w:p w14:paraId="20B8D240" w14:textId="77777777" w:rsidR="008132D5" w:rsidRPr="008132D5" w:rsidRDefault="008132D5" w:rsidP="008132D5">
      <w:pPr>
        <w:numPr>
          <w:ilvl w:val="0"/>
          <w:numId w:val="2"/>
        </w:numPr>
      </w:pPr>
      <w:r w:rsidRPr="008132D5">
        <w:t xml:space="preserve">SVMs are often thought of as </w:t>
      </w:r>
      <w:r w:rsidRPr="008132D5">
        <w:rPr>
          <w:b/>
          <w:bCs/>
        </w:rPr>
        <w:t>Large Margin Classifiers</w:t>
      </w:r>
      <w:r w:rsidRPr="008132D5">
        <w:t>.</w:t>
      </w:r>
    </w:p>
    <w:p w14:paraId="6D66A056" w14:textId="77777777" w:rsidR="008132D5" w:rsidRPr="008132D5" w:rsidRDefault="008132D5" w:rsidP="008132D5">
      <w:pPr>
        <w:numPr>
          <w:ilvl w:val="1"/>
          <w:numId w:val="2"/>
        </w:numPr>
      </w:pPr>
      <w:r w:rsidRPr="008132D5">
        <w:t>For y=1y=1: We want ΘTx≥1ΘTx≥1</w:t>
      </w:r>
    </w:p>
    <w:p w14:paraId="15220133" w14:textId="77777777" w:rsidR="008132D5" w:rsidRPr="008132D5" w:rsidRDefault="008132D5" w:rsidP="008132D5">
      <w:pPr>
        <w:numPr>
          <w:ilvl w:val="1"/>
          <w:numId w:val="2"/>
        </w:numPr>
      </w:pPr>
      <w:r w:rsidRPr="008132D5">
        <w:t xml:space="preserve">For y=0y=0: We want </w:t>
      </w:r>
      <w:proofErr w:type="spellStart"/>
      <w:r w:rsidRPr="008132D5">
        <w:t>ΘTx</w:t>
      </w:r>
      <w:proofErr w:type="spellEnd"/>
      <w:r w:rsidRPr="008132D5">
        <w:t>≤−1ΘTx≤−1</w:t>
      </w:r>
    </w:p>
    <w:p w14:paraId="5494C20A" w14:textId="77777777" w:rsidR="008132D5" w:rsidRPr="008132D5" w:rsidRDefault="008132D5" w:rsidP="008132D5">
      <w:pPr>
        <w:numPr>
          <w:ilvl w:val="1"/>
          <w:numId w:val="2"/>
        </w:numPr>
      </w:pPr>
      <w:r w:rsidRPr="008132D5">
        <w:t>When CC is large, SVMs separate positive and negative examples with a large margin.</w:t>
      </w:r>
    </w:p>
    <w:p w14:paraId="69E4E288" w14:textId="77777777" w:rsidR="008132D5" w:rsidRPr="008132D5" w:rsidRDefault="008132D5" w:rsidP="008132D5">
      <w:pPr>
        <w:numPr>
          <w:ilvl w:val="1"/>
          <w:numId w:val="2"/>
        </w:numPr>
      </w:pPr>
      <w:r w:rsidRPr="008132D5">
        <w:rPr>
          <w:b/>
          <w:bCs/>
        </w:rPr>
        <w:t>Large Margin</w:t>
      </w:r>
      <w:r w:rsidRPr="008132D5">
        <w:t>: Decision boundary is as far from both positive and negative examples as possible. Achieved when CC is large.</w:t>
      </w:r>
    </w:p>
    <w:p w14:paraId="0CD360A3" w14:textId="77777777" w:rsidR="008132D5" w:rsidRPr="008132D5" w:rsidRDefault="008132D5" w:rsidP="008132D5">
      <w:pPr>
        <w:numPr>
          <w:ilvl w:val="1"/>
          <w:numId w:val="2"/>
        </w:numPr>
      </w:pPr>
      <w:r w:rsidRPr="008132D5">
        <w:rPr>
          <w:b/>
          <w:bCs/>
        </w:rPr>
        <w:t>Impact of CC</w:t>
      </w:r>
      <w:r w:rsidRPr="008132D5">
        <w:t>:</w:t>
      </w:r>
    </w:p>
    <w:p w14:paraId="242F0FE7" w14:textId="77777777" w:rsidR="008132D5" w:rsidRPr="008132D5" w:rsidRDefault="008132D5" w:rsidP="008132D5">
      <w:pPr>
        <w:numPr>
          <w:ilvl w:val="2"/>
          <w:numId w:val="2"/>
        </w:numPr>
      </w:pPr>
      <w:r w:rsidRPr="008132D5">
        <w:t>Large CC: Lower bias, high variance (smaller margin).</w:t>
      </w:r>
    </w:p>
    <w:p w14:paraId="3C81DDB8" w14:textId="77777777" w:rsidR="008132D5" w:rsidRPr="008132D5" w:rsidRDefault="008132D5" w:rsidP="008132D5">
      <w:pPr>
        <w:numPr>
          <w:ilvl w:val="2"/>
          <w:numId w:val="2"/>
        </w:numPr>
      </w:pPr>
      <w:r w:rsidRPr="008132D5">
        <w:t>Small CC: High bias, low variance (large margin).</w:t>
      </w:r>
    </w:p>
    <w:p w14:paraId="5D23BCA6" w14:textId="77777777" w:rsidR="008132D5" w:rsidRPr="008132D5" w:rsidRDefault="008132D5" w:rsidP="008132D5">
      <w:pPr>
        <w:rPr>
          <w:b/>
          <w:bCs/>
        </w:rPr>
      </w:pPr>
      <w:r w:rsidRPr="008132D5">
        <w:rPr>
          <w:b/>
          <w:bCs/>
        </w:rPr>
        <w:lastRenderedPageBreak/>
        <w:t>Mathematics Behind Large Margin Classification:</w:t>
      </w:r>
    </w:p>
    <w:p w14:paraId="3F092038" w14:textId="77777777" w:rsidR="008132D5" w:rsidRPr="008132D5" w:rsidRDefault="008132D5" w:rsidP="008132D5">
      <w:pPr>
        <w:numPr>
          <w:ilvl w:val="0"/>
          <w:numId w:val="3"/>
        </w:numPr>
      </w:pPr>
      <w:r w:rsidRPr="008132D5">
        <w:rPr>
          <w:b/>
          <w:bCs/>
        </w:rPr>
        <w:t>Vector Inner Product</w:t>
      </w:r>
      <w:r w:rsidRPr="008132D5">
        <w:t>:</w:t>
      </w:r>
    </w:p>
    <w:p w14:paraId="5C25DE1B" w14:textId="77777777" w:rsidR="008132D5" w:rsidRPr="008132D5" w:rsidRDefault="008132D5" w:rsidP="008132D5">
      <w:pPr>
        <w:numPr>
          <w:ilvl w:val="1"/>
          <w:numId w:val="3"/>
        </w:numPr>
      </w:pPr>
      <w:r w:rsidRPr="008132D5">
        <w:t xml:space="preserve">Length of a vector: </w:t>
      </w:r>
      <w:r w:rsidRPr="008132D5">
        <w:rPr>
          <w:rFonts w:ascii="Cambria Math" w:hAnsi="Cambria Math" w:cs="Cambria Math"/>
        </w:rPr>
        <w:t>∣∣</w:t>
      </w:r>
      <w:r w:rsidRPr="008132D5">
        <w:t>v</w:t>
      </w:r>
      <w:r w:rsidRPr="008132D5">
        <w:rPr>
          <w:rFonts w:ascii="Cambria Math" w:hAnsi="Cambria Math" w:cs="Cambria Math"/>
        </w:rPr>
        <w:t>∣∣∣∣</w:t>
      </w:r>
      <w:r w:rsidRPr="008132D5">
        <w:t>v</w:t>
      </w:r>
      <w:r w:rsidRPr="008132D5">
        <w:rPr>
          <w:rFonts w:ascii="Cambria Math" w:hAnsi="Cambria Math" w:cs="Cambria Math"/>
        </w:rPr>
        <w:t>∣∣</w:t>
      </w:r>
    </w:p>
    <w:p w14:paraId="33C6A2E0" w14:textId="77777777" w:rsidR="008132D5" w:rsidRPr="008132D5" w:rsidRDefault="008132D5" w:rsidP="008132D5">
      <w:pPr>
        <w:numPr>
          <w:ilvl w:val="1"/>
          <w:numId w:val="3"/>
        </w:numPr>
      </w:pPr>
      <w:r w:rsidRPr="008132D5">
        <w:t xml:space="preserve">Projection of </w:t>
      </w:r>
      <w:proofErr w:type="spellStart"/>
      <w:r w:rsidRPr="008132D5">
        <w:t>vv</w:t>
      </w:r>
      <w:proofErr w:type="spellEnd"/>
      <w:r w:rsidRPr="008132D5">
        <w:t xml:space="preserve"> onto </w:t>
      </w:r>
      <w:proofErr w:type="spellStart"/>
      <w:r w:rsidRPr="008132D5">
        <w:t>uu</w:t>
      </w:r>
      <w:proofErr w:type="spellEnd"/>
      <w:r w:rsidRPr="008132D5">
        <w:t>: p=</w:t>
      </w:r>
      <w:proofErr w:type="spellStart"/>
      <w:r w:rsidRPr="008132D5">
        <w:t>uTvp</w:t>
      </w:r>
      <w:proofErr w:type="spellEnd"/>
      <w:r w:rsidRPr="008132D5">
        <w:t>=</w:t>
      </w:r>
      <w:proofErr w:type="spellStart"/>
      <w:r w:rsidRPr="008132D5">
        <w:t>uTv</w:t>
      </w:r>
      <w:proofErr w:type="spellEnd"/>
    </w:p>
    <w:p w14:paraId="666348E2" w14:textId="77777777" w:rsidR="008132D5" w:rsidRPr="008132D5" w:rsidRDefault="008132D5" w:rsidP="008132D5">
      <w:pPr>
        <w:numPr>
          <w:ilvl w:val="1"/>
          <w:numId w:val="3"/>
        </w:numPr>
      </w:pPr>
      <w:proofErr w:type="spellStart"/>
      <w:r w:rsidRPr="008132D5">
        <w:t>uTv</w:t>
      </w:r>
      <w:proofErr w:type="spellEnd"/>
      <w:r w:rsidRPr="008132D5">
        <w:t>=p×</w:t>
      </w:r>
      <w:r w:rsidRPr="008132D5">
        <w:rPr>
          <w:rFonts w:ascii="Cambria Math" w:hAnsi="Cambria Math" w:cs="Cambria Math"/>
        </w:rPr>
        <w:t>∣∣</w:t>
      </w:r>
      <w:r w:rsidRPr="008132D5">
        <w:t>u</w:t>
      </w:r>
      <w:r w:rsidRPr="008132D5">
        <w:rPr>
          <w:rFonts w:ascii="Cambria Math" w:hAnsi="Cambria Math" w:cs="Cambria Math"/>
        </w:rPr>
        <w:t>∣∣</w:t>
      </w:r>
      <w:proofErr w:type="spellStart"/>
      <w:r w:rsidRPr="008132D5">
        <w:t>uTv</w:t>
      </w:r>
      <w:proofErr w:type="spellEnd"/>
      <w:r w:rsidRPr="008132D5">
        <w:t>=p×</w:t>
      </w:r>
      <w:r w:rsidRPr="008132D5">
        <w:rPr>
          <w:rFonts w:ascii="Cambria Math" w:hAnsi="Cambria Math" w:cs="Cambria Math"/>
        </w:rPr>
        <w:t>∣∣</w:t>
      </w:r>
      <w:r w:rsidRPr="008132D5">
        <w:t>u</w:t>
      </w:r>
      <w:r w:rsidRPr="008132D5">
        <w:rPr>
          <w:rFonts w:ascii="Cambria Math" w:hAnsi="Cambria Math" w:cs="Cambria Math"/>
        </w:rPr>
        <w:t>∣∣</w:t>
      </w:r>
    </w:p>
    <w:p w14:paraId="09EFFA52" w14:textId="77777777" w:rsidR="008132D5" w:rsidRPr="008132D5" w:rsidRDefault="008132D5" w:rsidP="008132D5">
      <w:pPr>
        <w:numPr>
          <w:ilvl w:val="1"/>
          <w:numId w:val="3"/>
        </w:numPr>
      </w:pPr>
      <w:r w:rsidRPr="008132D5">
        <w:t xml:space="preserve">In SVMs: </w:t>
      </w:r>
      <w:proofErr w:type="spellStart"/>
      <w:r w:rsidRPr="008132D5">
        <w:t>ΘTx</w:t>
      </w:r>
      <w:proofErr w:type="spellEnd"/>
      <w:r w:rsidRPr="008132D5">
        <w:t>(</w:t>
      </w:r>
      <w:proofErr w:type="spellStart"/>
      <w:r w:rsidRPr="008132D5">
        <w:t>i</w:t>
      </w:r>
      <w:proofErr w:type="spellEnd"/>
      <w:r w:rsidRPr="008132D5">
        <w:t>)=p(</w:t>
      </w:r>
      <w:proofErr w:type="spellStart"/>
      <w:r w:rsidRPr="008132D5">
        <w:t>i</w:t>
      </w:r>
      <w:proofErr w:type="spellEnd"/>
      <w:r w:rsidRPr="008132D5">
        <w:t>)×</w:t>
      </w:r>
      <w:r w:rsidRPr="008132D5">
        <w:rPr>
          <w:rFonts w:ascii="Cambria Math" w:hAnsi="Cambria Math" w:cs="Cambria Math"/>
        </w:rPr>
        <w:t>∣∣</w:t>
      </w:r>
      <w:r w:rsidRPr="008132D5">
        <w:rPr>
          <w:rFonts w:ascii="Calibri" w:hAnsi="Calibri" w:cs="Calibri"/>
        </w:rPr>
        <w:t>Θ</w:t>
      </w:r>
      <w:r w:rsidRPr="008132D5">
        <w:rPr>
          <w:rFonts w:ascii="Cambria Math" w:hAnsi="Cambria Math" w:cs="Cambria Math"/>
        </w:rPr>
        <w:t>∣∣</w:t>
      </w:r>
      <w:proofErr w:type="spellStart"/>
      <w:r w:rsidRPr="008132D5">
        <w:t>ΘTx</w:t>
      </w:r>
      <w:proofErr w:type="spellEnd"/>
      <w:r w:rsidRPr="008132D5">
        <w:t>(</w:t>
      </w:r>
      <w:proofErr w:type="spellStart"/>
      <w:r w:rsidRPr="008132D5">
        <w:t>i</w:t>
      </w:r>
      <w:proofErr w:type="spellEnd"/>
      <w:r w:rsidRPr="008132D5">
        <w:t>)=p(</w:t>
      </w:r>
      <w:proofErr w:type="spellStart"/>
      <w:r w:rsidRPr="008132D5">
        <w:t>i</w:t>
      </w:r>
      <w:proofErr w:type="spellEnd"/>
      <w:r w:rsidRPr="008132D5">
        <w:t>)×</w:t>
      </w:r>
      <w:r w:rsidRPr="008132D5">
        <w:rPr>
          <w:rFonts w:ascii="Cambria Math" w:hAnsi="Cambria Math" w:cs="Cambria Math"/>
        </w:rPr>
        <w:t>∣∣</w:t>
      </w:r>
      <w:r w:rsidRPr="008132D5">
        <w:rPr>
          <w:rFonts w:ascii="Calibri" w:hAnsi="Calibri" w:cs="Calibri"/>
        </w:rPr>
        <w:t>Θ</w:t>
      </w:r>
      <w:r w:rsidRPr="008132D5">
        <w:rPr>
          <w:rFonts w:ascii="Cambria Math" w:hAnsi="Cambria Math" w:cs="Cambria Math"/>
        </w:rPr>
        <w:t>∣∣</w:t>
      </w:r>
    </w:p>
    <w:p w14:paraId="5662C4B3" w14:textId="77777777" w:rsidR="008132D5" w:rsidRPr="008132D5" w:rsidRDefault="008132D5" w:rsidP="008132D5">
      <w:pPr>
        <w:numPr>
          <w:ilvl w:val="1"/>
          <w:numId w:val="3"/>
        </w:numPr>
      </w:pPr>
      <w:r w:rsidRPr="008132D5">
        <w:t>Large margin is due to SVM requiring projections p(</w:t>
      </w:r>
      <w:proofErr w:type="spellStart"/>
      <w:r w:rsidRPr="008132D5">
        <w:t>i</w:t>
      </w:r>
      <w:proofErr w:type="spellEnd"/>
      <w:r w:rsidRPr="008132D5">
        <w:t>)p(</w:t>
      </w:r>
      <w:proofErr w:type="spellStart"/>
      <w:r w:rsidRPr="008132D5">
        <w:t>i</w:t>
      </w:r>
      <w:proofErr w:type="spellEnd"/>
      <w:r w:rsidRPr="008132D5">
        <w:t>) to be large.</w:t>
      </w:r>
    </w:p>
    <w:p w14:paraId="2620E79D" w14:textId="77777777" w:rsidR="008132D5" w:rsidRPr="008132D5" w:rsidRDefault="008132D5" w:rsidP="008132D5">
      <w:pPr>
        <w:rPr>
          <w:b/>
          <w:bCs/>
        </w:rPr>
      </w:pPr>
      <w:r w:rsidRPr="008132D5">
        <w:rPr>
          <w:b/>
          <w:bCs/>
        </w:rPr>
        <w:t>Kernels:</w:t>
      </w:r>
    </w:p>
    <w:p w14:paraId="57622AAE" w14:textId="77777777" w:rsidR="008132D5" w:rsidRPr="008132D5" w:rsidRDefault="008132D5" w:rsidP="008132D5">
      <w:pPr>
        <w:numPr>
          <w:ilvl w:val="0"/>
          <w:numId w:val="4"/>
        </w:numPr>
      </w:pPr>
      <w:r w:rsidRPr="008132D5">
        <w:rPr>
          <w:b/>
          <w:bCs/>
        </w:rPr>
        <w:t>Kernels</w:t>
      </w:r>
      <w:r w:rsidRPr="008132D5">
        <w:t xml:space="preserve"> allow SVMs to form non-linear decision boundaries.</w:t>
      </w:r>
    </w:p>
    <w:p w14:paraId="6C0C3B56" w14:textId="77777777" w:rsidR="008132D5" w:rsidRPr="008132D5" w:rsidRDefault="008132D5" w:rsidP="008132D5">
      <w:pPr>
        <w:numPr>
          <w:ilvl w:val="1"/>
          <w:numId w:val="4"/>
        </w:numPr>
      </w:pPr>
      <w:r w:rsidRPr="008132D5">
        <w:t>Given x, compute new features based on proximity to landmarks l(</w:t>
      </w:r>
      <w:proofErr w:type="spellStart"/>
      <w:r w:rsidRPr="008132D5">
        <w:t>i</w:t>
      </w:r>
      <w:proofErr w:type="spellEnd"/>
      <w:r w:rsidRPr="008132D5">
        <w:t>)l(</w:t>
      </w:r>
      <w:proofErr w:type="spellStart"/>
      <w:r w:rsidRPr="008132D5">
        <w:t>i</w:t>
      </w:r>
      <w:proofErr w:type="spellEnd"/>
      <w:r w:rsidRPr="008132D5">
        <w:t>).</w:t>
      </w:r>
    </w:p>
    <w:p w14:paraId="2C4D4230" w14:textId="77777777" w:rsidR="008132D5" w:rsidRPr="008132D5" w:rsidRDefault="008132D5" w:rsidP="008132D5">
      <w:pPr>
        <w:numPr>
          <w:ilvl w:val="1"/>
          <w:numId w:val="4"/>
        </w:numPr>
      </w:pPr>
      <w:r w:rsidRPr="008132D5">
        <w:rPr>
          <w:b/>
          <w:bCs/>
        </w:rPr>
        <w:t>Gaussian Kernel</w:t>
      </w:r>
      <w:r w:rsidRPr="008132D5">
        <w:t>: fi=similarity(</w:t>
      </w:r>
      <w:proofErr w:type="gramStart"/>
      <w:r w:rsidRPr="008132D5">
        <w:t>x,l</w:t>
      </w:r>
      <w:proofErr w:type="gramEnd"/>
      <w:r w:rsidRPr="008132D5">
        <w:t>(i))=exp</w:t>
      </w:r>
      <w:r w:rsidRPr="008132D5">
        <w:rPr>
          <w:rFonts w:ascii="Cambria Math" w:hAnsi="Cambria Math" w:cs="Cambria Math"/>
        </w:rPr>
        <w:t>⁡</w:t>
      </w:r>
      <w:r w:rsidRPr="008132D5">
        <w:t>(</w:t>
      </w:r>
      <w:r w:rsidRPr="008132D5">
        <w:rPr>
          <w:rFonts w:ascii="Calibri" w:hAnsi="Calibri" w:cs="Calibri"/>
        </w:rPr>
        <w:t>−</w:t>
      </w:r>
      <w:r w:rsidRPr="008132D5">
        <w:rPr>
          <w:rFonts w:ascii="Cambria Math" w:hAnsi="Cambria Math" w:cs="Cambria Math"/>
        </w:rPr>
        <w:t>∣∣</w:t>
      </w:r>
      <w:r w:rsidRPr="008132D5">
        <w:t>x</w:t>
      </w:r>
      <w:r w:rsidRPr="008132D5">
        <w:rPr>
          <w:rFonts w:ascii="Calibri" w:hAnsi="Calibri" w:cs="Calibri"/>
        </w:rPr>
        <w:t>−</w:t>
      </w:r>
      <w:r w:rsidRPr="008132D5">
        <w:t>l(i)</w:t>
      </w:r>
      <w:r w:rsidRPr="008132D5">
        <w:rPr>
          <w:rFonts w:ascii="Cambria Math" w:hAnsi="Cambria Math" w:cs="Cambria Math"/>
        </w:rPr>
        <w:t>∣∣</w:t>
      </w:r>
      <w:r w:rsidRPr="008132D5">
        <w:t>22</w:t>
      </w:r>
      <w:r w:rsidRPr="008132D5">
        <w:rPr>
          <w:rFonts w:ascii="Calibri" w:hAnsi="Calibri" w:cs="Calibri"/>
        </w:rPr>
        <w:t>σ</w:t>
      </w:r>
      <w:r w:rsidRPr="008132D5">
        <w:t>2)fi​=similarity(x,l(i))=exp(−2σ2</w:t>
      </w:r>
      <w:r w:rsidRPr="008132D5">
        <w:rPr>
          <w:rFonts w:ascii="Cambria Math" w:hAnsi="Cambria Math" w:cs="Cambria Math"/>
        </w:rPr>
        <w:t>∣∣</w:t>
      </w:r>
      <w:r w:rsidRPr="008132D5">
        <w:t>x−l(i)</w:t>
      </w:r>
      <w:r w:rsidRPr="008132D5">
        <w:rPr>
          <w:rFonts w:ascii="Cambria Math" w:hAnsi="Cambria Math" w:cs="Cambria Math"/>
        </w:rPr>
        <w:t>∣∣</w:t>
      </w:r>
      <w:r w:rsidRPr="008132D5">
        <w:t>2​)</w:t>
      </w:r>
    </w:p>
    <w:p w14:paraId="2AF0ED4D" w14:textId="77777777" w:rsidR="008132D5" w:rsidRPr="008132D5" w:rsidRDefault="008132D5" w:rsidP="008132D5">
      <w:pPr>
        <w:numPr>
          <w:ilvl w:val="1"/>
          <w:numId w:val="4"/>
        </w:numPr>
      </w:pPr>
      <w:r w:rsidRPr="008132D5">
        <w:t>The Gaussian kernel measures the "similarity" between a given example xx and landmarks l(</w:t>
      </w:r>
      <w:proofErr w:type="spellStart"/>
      <w:r w:rsidRPr="008132D5">
        <w:t>i</w:t>
      </w:r>
      <w:proofErr w:type="spellEnd"/>
      <w:r w:rsidRPr="008132D5">
        <w:t>)l(</w:t>
      </w:r>
      <w:proofErr w:type="spellStart"/>
      <w:r w:rsidRPr="008132D5">
        <w:t>i</w:t>
      </w:r>
      <w:proofErr w:type="spellEnd"/>
      <w:r w:rsidRPr="008132D5">
        <w:t>).</w:t>
      </w:r>
    </w:p>
    <w:p w14:paraId="77CC6FD9" w14:textId="77777777" w:rsidR="008132D5" w:rsidRPr="008132D5" w:rsidRDefault="008132D5" w:rsidP="008132D5">
      <w:pPr>
        <w:rPr>
          <w:b/>
          <w:bCs/>
        </w:rPr>
      </w:pPr>
      <w:r w:rsidRPr="008132D5">
        <w:rPr>
          <w:b/>
          <w:bCs/>
        </w:rPr>
        <w:t>Key Takeaways:</w:t>
      </w:r>
    </w:p>
    <w:p w14:paraId="78EBBF9B" w14:textId="77777777" w:rsidR="008132D5" w:rsidRPr="008132D5" w:rsidRDefault="008132D5" w:rsidP="008132D5">
      <w:pPr>
        <w:numPr>
          <w:ilvl w:val="0"/>
          <w:numId w:val="5"/>
        </w:numPr>
      </w:pPr>
      <w:r w:rsidRPr="008132D5">
        <w:rPr>
          <w:b/>
          <w:bCs/>
        </w:rPr>
        <w:t>SVMs</w:t>
      </w:r>
      <w:r w:rsidRPr="008132D5">
        <w:t xml:space="preserve"> provide a different way to think about classification compared to logistic regression. They aim to find the largest possible margin to separate data.</w:t>
      </w:r>
    </w:p>
    <w:p w14:paraId="07228D2E" w14:textId="77777777" w:rsidR="008132D5" w:rsidRPr="008132D5" w:rsidRDefault="008132D5" w:rsidP="008132D5">
      <w:pPr>
        <w:numPr>
          <w:ilvl w:val="0"/>
          <w:numId w:val="5"/>
        </w:numPr>
      </w:pPr>
      <w:r w:rsidRPr="008132D5">
        <w:t xml:space="preserve">SVMs can be modified to work in non-linear scenarios </w:t>
      </w:r>
      <w:proofErr w:type="gramStart"/>
      <w:r w:rsidRPr="008132D5">
        <w:t>through the use of</w:t>
      </w:r>
      <w:proofErr w:type="gramEnd"/>
      <w:r w:rsidRPr="008132D5">
        <w:t xml:space="preserve"> </w:t>
      </w:r>
      <w:r w:rsidRPr="008132D5">
        <w:rPr>
          <w:b/>
          <w:bCs/>
        </w:rPr>
        <w:t>kernels</w:t>
      </w:r>
      <w:r w:rsidRPr="008132D5">
        <w:t>, which compute similarities with respect to landmarks in the dataset.</w:t>
      </w:r>
    </w:p>
    <w:p w14:paraId="538ED887" w14:textId="77777777" w:rsidR="008132D5" w:rsidRPr="008132D5" w:rsidRDefault="008132D5" w:rsidP="008132D5">
      <w:pPr>
        <w:numPr>
          <w:ilvl w:val="0"/>
          <w:numId w:val="5"/>
        </w:numPr>
      </w:pPr>
      <w:r w:rsidRPr="008132D5">
        <w:t xml:space="preserve">The regularization parameter </w:t>
      </w:r>
      <w:r w:rsidRPr="008132D5">
        <w:rPr>
          <w:b/>
          <w:bCs/>
        </w:rPr>
        <w:t>CC</w:t>
      </w:r>
      <w:r w:rsidRPr="008132D5">
        <w:t xml:space="preserve"> in SVM plays a similar role as 1λλ1​ in logistic regression. It controls the balance between achieving a large margin and ensuring that the SVM fits the training data well.</w:t>
      </w:r>
    </w:p>
    <w:p w14:paraId="2A15A370" w14:textId="77777777" w:rsidR="008132D5" w:rsidRPr="008132D5" w:rsidRDefault="008132D5" w:rsidP="008132D5">
      <w:pPr>
        <w:numPr>
          <w:ilvl w:val="0"/>
          <w:numId w:val="5"/>
        </w:numPr>
      </w:pPr>
      <w:r w:rsidRPr="008132D5">
        <w:rPr>
          <w:b/>
          <w:bCs/>
        </w:rPr>
        <w:t>Mathematically</w:t>
      </w:r>
      <w:r w:rsidRPr="008132D5">
        <w:t>, SVMs can be understood using vector operations, where the decision boundary is represented in terms of a vector ΘΘ that is perpendicular to the boundary itself.</w:t>
      </w:r>
    </w:p>
    <w:p w14:paraId="1B2BC4D9" w14:textId="77777777" w:rsidR="008132D5" w:rsidRPr="008132D5" w:rsidRDefault="008132D5" w:rsidP="008132D5">
      <w:pPr>
        <w:numPr>
          <w:ilvl w:val="0"/>
          <w:numId w:val="5"/>
        </w:numPr>
      </w:pPr>
      <w:r w:rsidRPr="008132D5">
        <w:t>Overall, SVMs provide a robust way to perform classification, especially in scenarios where clear margins can be identified between different classes in the data.</w:t>
      </w:r>
    </w:p>
    <w:p w14:paraId="7DC089EA" w14:textId="77777777" w:rsidR="007733EB" w:rsidRDefault="007733EB"/>
    <w:sectPr w:rsidR="0077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3A7"/>
    <w:multiLevelType w:val="multilevel"/>
    <w:tmpl w:val="FF46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45136"/>
    <w:multiLevelType w:val="multilevel"/>
    <w:tmpl w:val="B8E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E23E0"/>
    <w:multiLevelType w:val="multilevel"/>
    <w:tmpl w:val="0E1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C1630"/>
    <w:multiLevelType w:val="multilevel"/>
    <w:tmpl w:val="D6A0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A7F94"/>
    <w:multiLevelType w:val="multilevel"/>
    <w:tmpl w:val="3C0A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801193">
    <w:abstractNumId w:val="3"/>
  </w:num>
  <w:num w:numId="2" w16cid:durableId="804809376">
    <w:abstractNumId w:val="2"/>
  </w:num>
  <w:num w:numId="3" w16cid:durableId="964385768">
    <w:abstractNumId w:val="0"/>
  </w:num>
  <w:num w:numId="4" w16cid:durableId="417530197">
    <w:abstractNumId w:val="1"/>
  </w:num>
  <w:num w:numId="5" w16cid:durableId="1524126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B"/>
    <w:rsid w:val="007733EB"/>
    <w:rsid w:val="008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80B5"/>
  <w15:chartTrackingRefBased/>
  <w15:docId w15:val="{EA34A846-9F99-4AF8-936C-BA0095CE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2</cp:revision>
  <dcterms:created xsi:type="dcterms:W3CDTF">2023-08-24T23:50:00Z</dcterms:created>
  <dcterms:modified xsi:type="dcterms:W3CDTF">2023-08-24T23:52:00Z</dcterms:modified>
</cp:coreProperties>
</file>