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751" w:val="right"/>
        </w:tabs>
        <w:spacing w:after="40"/>
      </w:pPr>
      <w:r>
        <w:rPr>
          <w:rFonts w:ascii="Arial" w:hAnsi="Arial"/>
          <w:b/>
          <w:color w:val="5B564A"/>
          <w:sz w:val="17"/>
        </w:rPr>
        <w:t>GROUP PROJECT — MULTI-FACTOR AUTHENTICATION FOR VISUALLY IMPAIRED USERS</w:t>
      </w:r>
      <w:r>
        <w:rPr>
          <w:rFonts w:ascii="Arial" w:hAnsi="Arial"/>
          <w:color w:val="5B564A"/>
          <w:sz w:val="17"/>
        </w:rPr>
        <w:tab/>
        <w:t>Individual Design Document 5 / 5</w:t>
      </w:r>
    </w:p>
    <w:p>
      <w:pPr>
        <w:spacing w:after="200"/>
        <w:pBdr>
          <w:bottom w:val="single" w:sz="18" w:color="201D18"/>
        </w:pBdr>
      </w:pPr>
    </w:p>
    <w:p>
      <w:pPr>
        <w:spacing w:after="120"/>
      </w:pPr>
      <w:r>
        <w:rPr>
          <w:rFonts w:ascii="Arial" w:hAnsi="Arial"/>
          <w:b/>
          <w:color w:val="8C3B2E"/>
          <w:sz w:val="18"/>
        </w:rPr>
        <w:t>SECURITY ARCHITECTURE &amp; THREAT MODEL</w:t>
      </w:r>
    </w:p>
    <w:p>
      <w:pPr>
        <w:spacing w:after="120"/>
      </w:pPr>
      <w:r>
        <w:rPr>
          <w:rFonts w:ascii="Arial" w:hAnsi="Arial"/>
          <w:b/>
          <w:color w:val="201D18"/>
          <w:sz w:val="44"/>
        </w:rPr>
        <w:t>Security Architecture and Threat Model</w:t>
      </w:r>
    </w:p>
    <w:p>
      <w:pPr>
        <w:spacing w:after="280"/>
      </w:pPr>
      <w:r>
        <w:rPr>
          <w:rFonts w:ascii="Arial" w:hAnsi="Arial"/>
          <w:i/>
          <w:color w:val="5B564A"/>
          <w:sz w:val="22"/>
        </w:rPr>
        <w:t>Cross-cutting security design covering trust boundaries, data protection, and a STRIDE threat model across both the biometric and voice-call factors.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GROUP NAME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/>
                <w:color w:val="8C3B2E"/>
                <w:sz w:val="21"/>
              </w:rPr>
              <w:t>[Group Name]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MODULE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Computer Security — Group Project</w:t>
            </w:r>
          </w:p>
        </w:tc>
      </w:tr>
      <w:tr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STUDENT NAME (INITIALS)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/>
                <w:color w:val="8C3B2E"/>
                <w:sz w:val="21"/>
              </w:rPr>
              <w:t>[E. Student]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STUDENT ID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/>
                <w:color w:val="8C3B2E"/>
                <w:sz w:val="21"/>
              </w:rPr>
              <w:t>[Student ID]</w:t>
            </w:r>
          </w:p>
        </w:tc>
      </w:tr>
      <w:tr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DATE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15 September 2026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CONTRIBUTION AREA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Security Architecture &amp; Threat Model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8C3B2E"/>
          <w:sz w:val="24"/>
        </w:rPr>
        <w:t xml:space="preserve">1   </w:t>
      </w:r>
      <w:r>
        <w:rPr>
          <w:rFonts w:ascii="Arial" w:hAnsi="Arial"/>
          <w:b/>
          <w:color w:val="201D18"/>
          <w:sz w:val="24"/>
          <w:u w:val="none"/>
        </w:rPr>
        <w:t>SCOPE OF MY CONTRIBUTION</w:t>
      </w:r>
    </w:p>
    <w:p>
      <w:r>
        <w:rPr>
          <w:rFonts w:ascii="Arial" w:hAnsi="Arial"/>
          <w:color w:val="201D18"/>
          <w:sz w:val="21"/>
        </w:rPr>
        <w:t>My contribution is the cross-cutting security design: the trust boundaries between the client, the backend, and the telephony provider established in Document 1; the data-protection rules that constrain how Documents 2 and 3 must handle biometric and OTP data; and a structured threat model (STRIDE) identifying the main attacks against the whole system and the mitigation each one relies on.</w:t>
      </w: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8C3B2E"/>
          <w:sz w:val="24"/>
        </w:rPr>
        <w:t xml:space="preserve">2   </w:t>
      </w:r>
      <w:r>
        <w:rPr>
          <w:rFonts w:ascii="Arial" w:hAnsi="Arial"/>
          <w:b/>
          <w:color w:val="201D18"/>
          <w:sz w:val="24"/>
          <w:u w:val="none"/>
        </w:rPr>
        <w:t>ASSUMPTIONS</w:t>
      </w:r>
    </w:p>
    <w:p>
      <w:pPr>
        <w:spacing w:after="160"/>
        <w:ind w:left="283"/>
      </w:pPr>
      <w:r>
        <w:rPr>
          <w:rFonts w:ascii="Arial" w:hAnsi="Arial"/>
          <w:b/>
          <w:color w:val="8C3B2E"/>
          <w:sz w:val="21"/>
        </w:rPr>
        <w:t xml:space="preserve">E1  </w:t>
      </w:r>
      <w:r>
        <w:rPr>
          <w:rFonts w:ascii="Arial" w:hAnsi="Arial"/>
          <w:color w:val="201D18"/>
          <w:sz w:val="21"/>
        </w:rPr>
        <w:t>All client–server traffic is carried over TLS 1.3; no endpoint accepts plaintext HTTP.</w:t>
      </w:r>
    </w:p>
    <w:p>
      <w:pPr>
        <w:spacing w:after="160"/>
        <w:ind w:left="283"/>
      </w:pPr>
      <w:r>
        <w:rPr>
          <w:rFonts w:ascii="Arial" w:hAnsi="Arial"/>
          <w:b/>
          <w:color w:val="8C3B2E"/>
          <w:sz w:val="21"/>
        </w:rPr>
        <w:t xml:space="preserve">E2  </w:t>
      </w:r>
      <w:r>
        <w:rPr>
          <w:rFonts w:ascii="Arial" w:hAnsi="Arial"/>
          <w:color w:val="201D18"/>
          <w:sz w:val="21"/>
        </w:rPr>
        <w:t>OTP codes are stored server-side only as salted hashes with a short time-to-live, and are never written to logs in plaintext.</w:t>
      </w:r>
    </w:p>
    <w:p>
      <w:pPr>
        <w:spacing w:after="160"/>
        <w:ind w:left="283"/>
      </w:pPr>
      <w:r>
        <w:rPr>
          <w:rFonts w:ascii="Arial" w:hAnsi="Arial"/>
          <w:b/>
          <w:color w:val="8C3B2E"/>
          <w:sz w:val="21"/>
        </w:rPr>
        <w:t xml:space="preserve">E3  </w:t>
      </w:r>
      <w:r>
        <w:rPr>
          <w:rFonts w:ascii="Arial" w:hAnsi="Arial"/>
          <w:color w:val="201D18"/>
          <w:sz w:val="21"/>
        </w:rPr>
        <w:t>Per Document 2, biometric assertions are public-key signatures only; a full server compromise cannot leak biometric templates because none are ever stored there.</w:t>
      </w:r>
    </w:p>
    <w:p>
      <w:pPr>
        <w:spacing w:after="160"/>
        <w:ind w:left="283"/>
      </w:pPr>
      <w:r>
        <w:rPr>
          <w:rFonts w:ascii="Arial" w:hAnsi="Arial"/>
          <w:b/>
          <w:color w:val="8C3B2E"/>
          <w:sz w:val="21"/>
        </w:rPr>
        <w:t xml:space="preserve">E4  </w:t>
      </w:r>
      <w:r>
        <w:rPr>
          <w:rFonts w:ascii="Arial" w:hAnsi="Arial"/>
          <w:color w:val="201D18"/>
          <w:sz w:val="21"/>
        </w:rPr>
        <w:t>SIM-swap and call/voicemail-forwarding attacks against the voice-call factor are acknowledged as a residual risk not fully mitigated in this academic prototype; their impact is reduced because an attacker would still separately need the victim's enrolled biometric device (E3) to complete authentication.</w:t>
      </w:r>
    </w:p>
    <w:p>
      <w:pPr>
        <w:spacing w:after="160"/>
        <w:ind w:left="283"/>
      </w:pPr>
      <w:r>
        <w:rPr>
          <w:rFonts w:ascii="Arial" w:hAnsi="Arial"/>
          <w:b/>
          <w:color w:val="8C3B2E"/>
          <w:sz w:val="21"/>
        </w:rPr>
        <w:t xml:space="preserve">E5  </w:t>
      </w:r>
      <w:r>
        <w:rPr>
          <w:rFonts w:ascii="Arial" w:hAnsi="Arial"/>
          <w:color w:val="201D18"/>
          <w:sz w:val="21"/>
        </w:rPr>
        <w:t>The third-party telephony provider (e.g. Twilio) is treated as a trusted processor under a standard data-processing agreement — a simplifying assumption appropriate for an academic system, not a production compliance judgement.</w:t>
      </w: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8C3B2E"/>
          <w:sz w:val="24"/>
        </w:rPr>
        <w:t xml:space="preserve">3   </w:t>
      </w:r>
      <w:r>
        <w:rPr>
          <w:rFonts w:ascii="Arial" w:hAnsi="Arial"/>
          <w:b/>
          <w:color w:val="201D18"/>
          <w:sz w:val="24"/>
          <w:u w:val="none"/>
        </w:rPr>
        <w:t>TRUST-BOUNDARY DATA-FLOW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57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7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5B564A"/>
          <w:sz w:val="18"/>
        </w:rPr>
        <w:t>Figure 1. Trust-boundary data-flow diagram. Each subgraph is a trust zone; every arrow crossing a zone boundary is a point evaluated in the STRIDE table below.</w:t>
      </w: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8C3B2E"/>
          <w:sz w:val="24"/>
        </w:rPr>
        <w:t xml:space="preserve">4   </w:t>
      </w:r>
      <w:r>
        <w:rPr>
          <w:rFonts w:ascii="Arial" w:hAnsi="Arial"/>
          <w:b/>
          <w:color w:val="201D18"/>
          <w:sz w:val="24"/>
          <w:u w:val="none"/>
        </w:rPr>
        <w:t>STRIDE THREAT MODEL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bottom w:val="single" w:sz="10" w:color="201D18"/>
            </w:tcBorders>
          </w:tcPr>
          <w:p>
            <w:r/>
            <w:r>
              <w:rPr>
                <w:rFonts w:ascii="Arial" w:hAnsi="Arial"/>
                <w:b/>
                <w:color w:val="5B564A"/>
                <w:sz w:val="16"/>
              </w:rPr>
              <w:t>THREAT</w:t>
            </w:r>
          </w:p>
        </w:tc>
        <w:tc>
          <w:tcPr>
            <w:tcW w:type="dxa" w:w="2436"/>
            <w:tcBorders>
              <w:bottom w:val="single" w:sz="10" w:color="201D18"/>
            </w:tcBorders>
          </w:tcPr>
          <w:p>
            <w:r/>
            <w:r>
              <w:rPr>
                <w:rFonts w:ascii="Arial" w:hAnsi="Arial"/>
                <w:b/>
                <w:color w:val="5B564A"/>
                <w:sz w:val="16"/>
              </w:rPr>
              <w:t>SCENARIO</w:t>
            </w:r>
          </w:p>
        </w:tc>
        <w:tc>
          <w:tcPr>
            <w:tcW w:type="dxa" w:w="2436"/>
            <w:tcBorders>
              <w:bottom w:val="single" w:sz="10" w:color="201D18"/>
            </w:tcBorders>
          </w:tcPr>
          <w:p>
            <w:r/>
            <w:r>
              <w:rPr>
                <w:rFonts w:ascii="Arial" w:hAnsi="Arial"/>
                <w:b/>
                <w:color w:val="5B564A"/>
                <w:sz w:val="16"/>
              </w:rPr>
              <w:t>MITIGATION</w:t>
            </w:r>
          </w:p>
        </w:tc>
        <w:tc>
          <w:tcPr>
            <w:tcW w:type="dxa" w:w="2436"/>
            <w:tcBorders>
              <w:bottom w:val="single" w:sz="10" w:color="201D18"/>
            </w:tcBorders>
          </w:tcPr>
          <w:p>
            <w:r/>
            <w:r>
              <w:rPr>
                <w:rFonts w:ascii="Arial" w:hAnsi="Arial"/>
                <w:b/>
                <w:color w:val="5B564A"/>
                <w:sz w:val="16"/>
              </w:rPr>
              <w:t>SEVERITY</w:t>
            </w:r>
          </w:p>
        </w:tc>
      </w:tr>
      <w:tr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Spoofing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Attacker attempts to authenticate as the victim without the victim's device.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Biometric factor requires the enclave-bound private key (Document 2); unforgeable without physical device access.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Low</w:t>
            </w:r>
          </w:p>
        </w:tc>
      </w:tr>
      <w:tr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Tampering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Attacker intercepts and modifies the OTP or challenge in transit.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TLS 1.3 on all client–server traffic (E1); signed challenge-response prevents undetected modification.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Low</w:t>
            </w:r>
          </w:p>
        </w:tc>
      </w:tr>
      <w:tr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Repudiation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User or attacker denies an authentication event occurred.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Append-only audit log records every factor outcome with timestamp (Document 1, FR6).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Low</w:t>
            </w:r>
          </w:p>
        </w:tc>
      </w:tr>
      <w:tr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Information Disclosure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Backend database is breached.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No raw biometric data server-side (E3); OTPs stored only as short-lived salted hashes (E2).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Medium</w:t>
            </w:r>
          </w:p>
        </w:tc>
      </w:tr>
      <w:tr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Denial of Service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Attacker repeatedly triggers voice calls to the victim's phone as harassment, exploiting that only an identifier is needed to start a call.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Rate limiting on call-trigger endpoint, capped retries (Document 3, §5). Disproportionately affects a blind victim who cannot easily screen calls visually, making this a priority mitigation.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High</w:t>
            </w:r>
          </w:p>
        </w:tc>
      </w:tr>
      <w:tr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Elevation of Privilege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 partially-compromised factor grants more access than intended.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Orchestrator enforces that all required factors independently succeed before issuing a session token; authorization checks are separate from authentication result.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Medium</w:t>
            </w:r>
          </w:p>
        </w:tc>
      </w:tr>
      <w:tr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SIM-swap / call forwarding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Attacker redirects the victim's calls to intercept the voice OTP.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Not fully mitigated (E4) — accepted residual risk; impact bounded by the requirement that the biometric factor, bound to the victim's physical device, must also succeed.</w:t>
            </w:r>
          </w:p>
        </w:tc>
        <w:tc>
          <w:tcPr>
            <w:tcW w:type="dxa" w:w="2436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High (residual)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8C3B2E"/>
          <w:sz w:val="24"/>
        </w:rPr>
        <w:t xml:space="preserve">5   </w:t>
      </w:r>
      <w:r>
        <w:rPr>
          <w:rFonts w:ascii="Arial" w:hAnsi="Arial"/>
          <w:b/>
          <w:color w:val="201D18"/>
          <w:sz w:val="24"/>
          <w:u w:val="none"/>
        </w:rPr>
        <w:t>DESIGN DECISIONS &amp; JUSTIFICATION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0" w:color="201D18"/>
            </w:tcBorders>
          </w:tcPr>
          <w:p>
            <w:r/>
            <w:r>
              <w:rPr>
                <w:rFonts w:ascii="Arial" w:hAnsi="Arial"/>
                <w:b/>
                <w:color w:val="5B564A"/>
                <w:sz w:val="16"/>
              </w:rPr>
              <w:t>DECISION</w:t>
            </w:r>
          </w:p>
        </w:tc>
        <w:tc>
          <w:tcPr>
            <w:tcW w:type="dxa" w:w="4873"/>
            <w:tcBorders>
              <w:bottom w:val="single" w:sz="10" w:color="201D18"/>
            </w:tcBorders>
          </w:tcPr>
          <w:p>
            <w:r/>
            <w:r>
              <w:rPr>
                <w:rFonts w:ascii="Arial" w:hAnsi="Arial"/>
                <w:b/>
                <w:color w:val="5B564A"/>
                <w:sz w:val="16"/>
              </w:rPr>
              <w:t>JUSTIFICATION</w:t>
            </w:r>
          </w:p>
        </w:tc>
      </w:tr>
      <w:tr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Require factors from two structurally different channels (device-bound crypto key over data network; voice over PSTN) rather than two factors on the same channel.</w:t>
            </w:r>
          </w:p>
        </w:tc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NIST SP 800-63B requires AAL2 to combine two distinct factor categories; using channel-diverse delivery (data network vs. telephone network) means a single compromised network does not expose both factors, exceeding the standard's minimum.</w:t>
            </w:r>
          </w:p>
        </w:tc>
      </w:tr>
      <w:tr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Apply STRIDE as the threat-modelling method.</w:t>
            </w:r>
          </w:p>
        </w:tc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STRIDE is a widely documented, systematic methodology (Shostack, 2014) well suited to a bounded system with a clear data-flow diagram, making it appropriate for an academic-scope threat model covering all six threat categories without requiring a full production risk-scoring exercise.</w:t>
            </w:r>
          </w:p>
        </w:tc>
      </w:tr>
      <w:tr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Rank the voice-call denial-of-service scenario as the highest-severity item, above generic information disclosure.</w:t>
            </w:r>
          </w:p>
        </w:tc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Because the target users are visually impaired, an attacker flooding their phone with authentication calls is not just an availability problem but a direct harassment vector this population is less able to screen or block visually — the severity ranking reflects the accessibility context, not just standard CVSS-style impact.</w:t>
            </w:r>
          </w:p>
        </w:tc>
      </w:tr>
      <w:tr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Explicitly accept SIM-swap as a residual, not eliminated risk rather than over-claiming a fix.</w:t>
            </w:r>
          </w:p>
        </w:tc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Full SIM-swap mitigation (e.g. carrier-level number-porting alerts) is outside the control of an application-layer design and outside this project's scope; stating it honestly as residual, bounded by the second independent factor, is more defensible than an unsubstantiated claim of full mitigation.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8C3B2E"/>
          <w:sz w:val="24"/>
        </w:rPr>
        <w:t xml:space="preserve">6   </w:t>
      </w:r>
      <w:r>
        <w:rPr>
          <w:rFonts w:ascii="Arial" w:hAnsi="Arial"/>
          <w:b/>
          <w:color w:val="201D18"/>
          <w:sz w:val="24"/>
          <w:u w:val="none"/>
        </w:rPr>
        <w:t>REFERENCES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National Institute of Standards and Technology (2017) SP 800-63B: Digital Identity Guidelines — Authentication and Lifecycle Management. Gaithersburg, MD: NIST.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OWASP Foundation (2021) Application Security Verification Standard (ASVS) v4.0.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Shostack, A. (2014) Threat Modeling: Designing for Security. Indianapolis: Wiley.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Twilio Inc. Voice API Security Documentation. Available at: twilio.com/docs/voice/security.</w:t>
      </w:r>
    </w:p>
    <w:p>
      <w:pPr>
        <w:spacing w:before="360"/>
        <w:pBdr>
          <w:top w:val="single" w:sz="6" w:color="DBD2BB"/>
        </w:pBdr>
      </w:pPr>
      <w:r>
        <w:rPr>
          <w:rFonts w:ascii="Arial" w:hAnsi="Arial"/>
          <w:color w:val="5B564A"/>
          <w:sz w:val="16"/>
        </w:rPr>
        <w:t>Individual Contribution — Submission 1                                                                    5 / 5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Arial" w:hAnsi="Arial"/>
      <w:color w:val="201D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