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13" w:rsidRDefault="00146A1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91942" w:rsidRDefault="00E919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4"/>
        <w:gridCol w:w="560"/>
      </w:tblGrid>
      <w:tr w:rsidR="00E91942" w:rsidTr="00146A13">
        <w:tc>
          <w:tcPr>
            <w:tcW w:w="8784" w:type="dxa"/>
          </w:tcPr>
          <w:p w:rsidR="00E91942" w:rsidRPr="00E91942" w:rsidRDefault="00E919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560" w:type="dxa"/>
          </w:tcPr>
          <w:p w:rsidR="00E91942" w:rsidRPr="00146A13" w:rsidRDefault="00146A13" w:rsidP="00E91942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E91942" w:rsidTr="00146A13">
        <w:tc>
          <w:tcPr>
            <w:tcW w:w="8784" w:type="dxa"/>
          </w:tcPr>
          <w:p w:rsidR="00E91942" w:rsidRPr="00101C22" w:rsidRDefault="00E9194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01C22">
              <w:rPr>
                <w:rFonts w:ascii="Times New Roman" w:eastAsia="Calibri" w:hAnsi="Times New Roman" w:cs="Times New Roman"/>
                <w:sz w:val="28"/>
              </w:rPr>
              <w:t>1 Общая часть</w:t>
            </w:r>
          </w:p>
        </w:tc>
        <w:tc>
          <w:tcPr>
            <w:tcW w:w="560" w:type="dxa"/>
          </w:tcPr>
          <w:p w:rsidR="00E91942" w:rsidRPr="00146A13" w:rsidRDefault="00146A13" w:rsidP="00E91942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1.1 Исходные данные для проекта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 Анализ чертежа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1.2.1 Технические требования на деталь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1.2.2 Точность, качество и методы обработки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1.2.3 Анализ материала детали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101C22">
            <w:pPr>
              <w:spacing w:line="360" w:lineRule="auto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1.3 Определение межоперационных припусков и размеров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1.4 Определение типа и размера исходной заготовки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1.5 Описание метода получения заготовки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 Проектирование технологического процесса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2.1 Определение перечня технологических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2.2 Выбор оборудования для реализации технологических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2.3 Выбор технологического оснащения для реализации системы СПИД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 Проектирование одной их механических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2.4.1 Методы базирования заготовки на данной операции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2.4.2 Состав операции в зависимости от метода базирования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2.4.3 Расчёт режимов резания на технологические переходы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2.5 Проектирование специального станочного приспособления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2.6 Разработка режущего или измерительного инструмента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 Нормирование технологического процесса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3.1 Определение состава вспомогательного времени по операции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3.2 Определение размера подготовительно-заключительного и дополнительного времён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3.3 Определение штучного и штучно-калькуляционного времени по операции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Заключение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Список литературы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Приложение №1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91942" w:rsidRDefault="00E91942">
      <w:pPr>
        <w:rPr>
          <w:rFonts w:ascii="Times New Roman" w:hAnsi="Times New Roman" w:cs="Times New Roman"/>
          <w:b/>
          <w:sz w:val="28"/>
        </w:rPr>
      </w:pPr>
    </w:p>
    <w:p w:rsidR="00101C22" w:rsidRPr="00E23F11" w:rsidRDefault="00101C22" w:rsidP="00101C22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91942" w:rsidRDefault="00E919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4947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Уровень сельскохозяйственного машиностроения является определяющим фактором всего хозяйственного комплекса страны. Важнейшими условиями ускорения развития хозяйственного комплекса являются рост производительности труда, повышение эффективности производства и улучшение качества продукции.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Применение более прогрессивных методов изготовления машин имеет при этом первостепенное значение. Качество машины, надежность, долговечность и экономичность в эксплуатации зависят не только от совершенства ее конструкции, но и от технологии ее изготовления и ремонта.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Инженер-технолог стоит последним в цепи создания новой машины и от объема его знаний и опыта во многом зависит ее качество и конкурентоспособность.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В условиях рыночной экономики основной задачей сельскохозяйственного машиностроения является производство того, что продается, а не продажа того, что производится.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Курсовой проект по технологии сельскохозяйственного машиностроения является важным этапом в подготовке инженеров-механиков и определяет способность студентов самостоятельно решать различные технологические и конструкторские задачи, показывает в целом уровень профессиональной подготовки будущих специалистов.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Курсовое проектирование преследует цель – научить студентов разрабатывать прогрессивные технологические процессы (ТП) на основе современных достижений науки и техники.</w:t>
      </w:r>
    </w:p>
    <w:p w:rsidR="00895377" w:rsidRDefault="00784947" w:rsidP="008953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Следует отметить, что в курсовом проекте не допускается копирования существующего на базовом предприятии ТП, а рекомендуется на основе анализа разработать более совершенный ТП, использовать современное высокопроизводительное оборудование, прогрессивные конструкции приспособлений и режущих инструментов.</w:t>
      </w:r>
      <w:r w:rsidR="00895377">
        <w:rPr>
          <w:rFonts w:ascii="Times New Roman" w:eastAsia="Calibri" w:hAnsi="Times New Roman" w:cs="Times New Roman"/>
          <w:sz w:val="28"/>
        </w:rPr>
        <w:br w:type="page"/>
      </w:r>
    </w:p>
    <w:p w:rsidR="00E91942" w:rsidRPr="00895377" w:rsidRDefault="00E91942" w:rsidP="00E9194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lastRenderedPageBreak/>
        <w:t>1 Общая часть</w:t>
      </w:r>
    </w:p>
    <w:p w:rsidR="00895377" w:rsidRPr="004C6B11" w:rsidRDefault="00146A13" w:rsidP="004C6B11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4C6B11">
        <w:rPr>
          <w:rFonts w:ascii="Times New Roman" w:eastAsia="Calibri" w:hAnsi="Times New Roman" w:cs="Times New Roman"/>
          <w:b/>
          <w:sz w:val="28"/>
        </w:rPr>
        <w:t>Исходные данные для проекта</w:t>
      </w:r>
    </w:p>
    <w:p w:rsidR="004C6B11" w:rsidRPr="004C6B11" w:rsidRDefault="004C6B11" w:rsidP="004C6B11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Карточка задания</w:t>
      </w:r>
    </w:p>
    <w:p w:rsidR="00895377" w:rsidRDefault="00895377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t xml:space="preserve">1.2 </w:t>
      </w:r>
      <w:r w:rsidR="00FF5A8D">
        <w:rPr>
          <w:rFonts w:ascii="Times New Roman" w:eastAsia="Calibri" w:hAnsi="Times New Roman" w:cs="Times New Roman"/>
          <w:b/>
          <w:sz w:val="28"/>
        </w:rPr>
        <w:t xml:space="preserve">Анализ </w:t>
      </w:r>
      <w:r w:rsidR="00146A13">
        <w:rPr>
          <w:rFonts w:ascii="Times New Roman" w:eastAsia="Calibri" w:hAnsi="Times New Roman" w:cs="Times New Roman"/>
          <w:b/>
          <w:sz w:val="28"/>
        </w:rPr>
        <w:t>чертежа</w:t>
      </w:r>
    </w:p>
    <w:p w:rsidR="00146A13" w:rsidRDefault="00146A13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146A13">
        <w:rPr>
          <w:rFonts w:ascii="Times New Roman" w:eastAsia="Calibri" w:hAnsi="Times New Roman" w:cs="Times New Roman"/>
          <w:b/>
          <w:sz w:val="28"/>
        </w:rPr>
        <w:t>1.2.1 Технические требования на деталь</w:t>
      </w:r>
    </w:p>
    <w:p w:rsidR="004C6B11" w:rsidRPr="004C6B11" w:rsidRDefault="004C6B11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</w:p>
    <w:p w:rsidR="00146A13" w:rsidRDefault="00146A13" w:rsidP="008953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1.2.2 </w:t>
      </w:r>
      <w:r w:rsidRPr="00146A13">
        <w:rPr>
          <w:rFonts w:ascii="Times New Roman" w:hAnsi="Times New Roman" w:cs="Times New Roman"/>
          <w:b/>
          <w:sz w:val="28"/>
          <w:szCs w:val="28"/>
        </w:rPr>
        <w:t>Точность, качество и методы обработки</w:t>
      </w:r>
    </w:p>
    <w:p w:rsidR="004C6B11" w:rsidRDefault="004C6B11" w:rsidP="004C6B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inline distT="0" distB="0" distL="0" distR="0" wp14:anchorId="78AF7ADD" wp14:editId="7F0960D3">
            <wp:extent cx="5934075" cy="2914650"/>
            <wp:effectExtent l="0" t="0" r="9525" b="0"/>
            <wp:docPr id="1" name="Рисунок 1" descr="поверх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верхнос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13" w:rsidRDefault="00146A13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Целью анализа конструкции детали на технологичность является выявление недостатков конструкции по сведениям, содержащимся в чертежах и технических требованиях, а также возможное улучшение технологичности рассматриваемой конструкции.</w:t>
      </w:r>
      <w:r w:rsidR="0055676F">
        <w:rPr>
          <w:rFonts w:ascii="Times New Roman" w:hAnsi="Times New Roman" w:cs="Times New Roman"/>
          <w:sz w:val="28"/>
          <w:szCs w:val="28"/>
        </w:rPr>
        <w:t xml:space="preserve"> </w:t>
      </w:r>
      <w:r w:rsidRPr="00AF547C">
        <w:rPr>
          <w:rFonts w:ascii="Times New Roman" w:hAnsi="Times New Roman" w:cs="Times New Roman"/>
          <w:sz w:val="28"/>
          <w:szCs w:val="28"/>
        </w:rPr>
        <w:t>Анализ технологичности проводится, как правило, в два этапа: качественный и количественный.</w:t>
      </w:r>
    </w:p>
    <w:p w:rsidR="0055676F" w:rsidRPr="004C6B11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Конфигурация детали достаточно технологична для обработки резанием на токарном станке, все поверхности легкодоступны для инструмента.</w:t>
      </w:r>
    </w:p>
    <w:p w:rsidR="0055676F" w:rsidRPr="004C6B11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На чертеже указаны все необходимые размеры, требуемая шероховатость обрабатываемых поверхностей, имеется допуск симметричности расположения паза.</w:t>
      </w:r>
    </w:p>
    <w:p w:rsidR="0055676F" w:rsidRPr="0055676F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Технологической базой при точении является черновая поверхность заготовки, после переустановки детали – уже</w:t>
      </w:r>
      <w:r w:rsidR="004C6B11" w:rsidRPr="004C6B11">
        <w:rPr>
          <w:rFonts w:ascii="Times New Roman" w:hAnsi="Times New Roman" w:cs="Times New Roman"/>
          <w:sz w:val="28"/>
          <w:szCs w:val="28"/>
        </w:rPr>
        <w:t xml:space="preserve"> обработанная поверхность втулки.</w:t>
      </w:r>
    </w:p>
    <w:p w:rsidR="0055676F" w:rsidRDefault="0055676F" w:rsidP="0055676F">
      <w:pPr>
        <w:pStyle w:val="a6"/>
      </w:pPr>
      <w:r>
        <w:lastRenderedPageBreak/>
        <w:t>Количественная оценка технологичности выполняется согласно ГОСТ</w:t>
      </w:r>
      <w:r w:rsidRPr="00547D5C">
        <w:t xml:space="preserve"> </w:t>
      </w:r>
      <w:r>
        <w:t>14</w:t>
      </w:r>
      <w:r w:rsidRPr="00547D5C">
        <w:t>.</w:t>
      </w:r>
      <w:r>
        <w:t>201–73 и содержит следующие показатели:</w:t>
      </w:r>
    </w:p>
    <w:p w:rsidR="0055676F" w:rsidRDefault="0055676F" w:rsidP="0055676F">
      <w:pPr>
        <w:pStyle w:val="a6"/>
      </w:pPr>
      <w:r>
        <w:t>Коэффициент точности обработки К</w:t>
      </w:r>
      <w:r>
        <w:rPr>
          <w:vertAlign w:val="subscript"/>
        </w:rPr>
        <w:t>тч</w:t>
      </w:r>
      <w:r>
        <w:t xml:space="preserve"> определяется по формуле:</w:t>
      </w:r>
    </w:p>
    <w:p w:rsidR="0055676F" w:rsidRPr="00C21E1A" w:rsidRDefault="00093278" w:rsidP="0055676F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                                                   (1.1)</m:t>
          </m:r>
        </m:oMath>
      </m:oMathPara>
    </w:p>
    <w:p w:rsidR="0055676F" w:rsidRDefault="0055676F" w:rsidP="0055676F">
      <w:pPr>
        <w:pStyle w:val="a6"/>
      </w:pPr>
      <w:r>
        <w:t>где Т</w:t>
      </w:r>
      <w:r>
        <w:rPr>
          <w:vertAlign w:val="subscript"/>
        </w:rPr>
        <w:t>ср</w:t>
      </w:r>
      <w:r>
        <w:t xml:space="preserve"> – средний квалитет точности обработки.</w:t>
      </w:r>
    </w:p>
    <w:p w:rsidR="0055676F" w:rsidRDefault="00093278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,                                               (1.2)</m:t>
          </m:r>
        </m:oMath>
      </m:oMathPara>
    </w:p>
    <w:p w:rsidR="0055676F" w:rsidRDefault="0055676F" w:rsidP="0055676F">
      <w:pPr>
        <w:pStyle w:val="a6"/>
      </w:pPr>
      <w:r>
        <w:t xml:space="preserve">где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04069C">
        <w:t xml:space="preserve"> – </w:t>
      </w:r>
      <w:r>
        <w:t>квалитет точности обработки;</w:t>
      </w:r>
    </w:p>
    <w:p w:rsidR="0055676F" w:rsidRDefault="0055676F" w:rsidP="0055676F">
      <w:pPr>
        <w:pStyle w:val="a6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04069C">
        <w:t xml:space="preserve"> – </w:t>
      </w:r>
      <w:r>
        <w:t>число размеров соответствующего квалитета точности.</w:t>
      </w:r>
    </w:p>
    <w:p w:rsidR="0055676F" w:rsidRDefault="00093278" w:rsidP="0055676F">
      <w:pPr>
        <w:pStyle w:val="a6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14*23+11*1+12*2+10* 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23+1+2+2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=13,46.</m:t>
          </m:r>
        </m:oMath>
      </m:oMathPara>
    </w:p>
    <w:p w:rsidR="0055676F" w:rsidRDefault="00093278" w:rsidP="0055676F">
      <w:pPr>
        <w:pStyle w:val="a6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13,46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</m:t>
          </m:r>
          <m:r>
            <w:rPr>
              <w:rFonts w:ascii="Cambria Math" w:hAnsi="Cambria Math"/>
              <w:szCs w:val="28"/>
            </w:rPr>
            <m:t>,93</m:t>
          </m:r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5676F" w:rsidRDefault="0055676F" w:rsidP="0055676F">
      <w:pPr>
        <w:pStyle w:val="a6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Коэффициент шероховатости поверхности </w:t>
      </w:r>
      <w:proofErr w:type="gramStart"/>
      <w:r>
        <w:rPr>
          <w:rFonts w:eastAsiaTheme="minorEastAsia"/>
          <w:szCs w:val="28"/>
        </w:rPr>
        <w:t>К</w:t>
      </w:r>
      <w:r>
        <w:rPr>
          <w:rFonts w:eastAsiaTheme="minorEastAsia"/>
          <w:szCs w:val="28"/>
          <w:vertAlign w:val="subscript"/>
        </w:rPr>
        <w:t>ш</w:t>
      </w:r>
      <w:proofErr w:type="gramEnd"/>
      <w:r>
        <w:rPr>
          <w:rFonts w:eastAsiaTheme="minorEastAsia"/>
          <w:szCs w:val="28"/>
        </w:rPr>
        <w:t xml:space="preserve"> определяется по формуле:</w:t>
      </w:r>
    </w:p>
    <w:p w:rsidR="0055676F" w:rsidRDefault="00093278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                                             (1.3)</m:t>
          </m:r>
        </m:oMath>
      </m:oMathPara>
    </w:p>
    <w:p w:rsidR="0055676F" w:rsidRDefault="0055676F" w:rsidP="0055676F">
      <w:pPr>
        <w:pStyle w:val="a6"/>
        <w:rPr>
          <w:snapToGrid w:val="0"/>
        </w:rPr>
      </w:pPr>
      <w:r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  <w:lang w:val="en-US"/>
        </w:rPr>
        <w:t>Ra</w:t>
      </w:r>
      <w:r>
        <w:rPr>
          <w:rFonts w:eastAsiaTheme="minorEastAsia"/>
          <w:szCs w:val="28"/>
          <w:vertAlign w:val="subscript"/>
        </w:rPr>
        <w:t>ср</w:t>
      </w:r>
      <w:r>
        <w:rPr>
          <w:rFonts w:eastAsiaTheme="minorEastAsia"/>
          <w:szCs w:val="28"/>
        </w:rPr>
        <w:t xml:space="preserve"> – </w:t>
      </w:r>
      <w:r>
        <w:rPr>
          <w:snapToGrid w:val="0"/>
        </w:rPr>
        <w:t>средняя шероховатость поверхностей изделия.</w:t>
      </w:r>
    </w:p>
    <w:p w:rsidR="0055676F" w:rsidRPr="00A97A29" w:rsidRDefault="00093278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 xml:space="preserve">,                                         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1.4</m:t>
              </m:r>
            </m:e>
          </m:d>
        </m:oMath>
      </m:oMathPara>
    </w:p>
    <w:p w:rsidR="0055676F" w:rsidRDefault="0055676F" w:rsidP="0055676F">
      <w:pPr>
        <w:pStyle w:val="a6"/>
        <w:rPr>
          <w:snapToGrid w:val="0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Ra</w:t>
      </w:r>
      <w:r>
        <w:rPr>
          <w:rFonts w:eastAsiaTheme="minorEastAsia"/>
          <w:vertAlign w:val="subscript"/>
          <w:lang w:val="en-US"/>
        </w:rPr>
        <w:t>i</w:t>
      </w:r>
      <w:r w:rsidRPr="004F395E">
        <w:rPr>
          <w:rFonts w:eastAsiaTheme="minorEastAsia"/>
        </w:rPr>
        <w:t xml:space="preserve"> – </w:t>
      </w:r>
      <w:r>
        <w:rPr>
          <w:snapToGrid w:val="0"/>
        </w:rPr>
        <w:t>шероховатость поверхности;</w:t>
      </w:r>
    </w:p>
    <w:p w:rsidR="0055676F" w:rsidRDefault="0055676F" w:rsidP="0055676F">
      <w:pPr>
        <w:pStyle w:val="a6"/>
        <w:rPr>
          <w:snapToGrid w:val="0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04069C">
        <w:t xml:space="preserve"> –</w:t>
      </w:r>
      <w:r>
        <w:t xml:space="preserve"> </w:t>
      </w:r>
      <w:r>
        <w:rPr>
          <w:snapToGrid w:val="0"/>
        </w:rPr>
        <w:t>число поверхностей соответствующей шероховатости.</w:t>
      </w:r>
    </w:p>
    <w:p w:rsidR="0055676F" w:rsidRPr="004F395E" w:rsidRDefault="00093278" w:rsidP="0055676F">
      <w:pPr>
        <w:pStyle w:val="a6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6,3*12+3,2*12+2,5*2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 4,58.</m:t>
          </m:r>
        </m:oMath>
      </m:oMathPara>
    </w:p>
    <w:p w:rsidR="0055676F" w:rsidRPr="004C6B11" w:rsidRDefault="00093278" w:rsidP="0055676F">
      <w:pPr>
        <w:pStyle w:val="a6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4,58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=0,78.</m:t>
          </m:r>
        </m:oMath>
      </m:oMathPara>
    </w:p>
    <w:p w:rsidR="00146A13" w:rsidRDefault="0055676F" w:rsidP="004C6B11">
      <w:pPr>
        <w:pStyle w:val="a6"/>
        <w:rPr>
          <w:rFonts w:eastAsiaTheme="minorEastAsia"/>
          <w:szCs w:val="28"/>
        </w:rPr>
      </w:pPr>
      <w:r w:rsidRPr="004C6B11">
        <w:rPr>
          <w:rFonts w:eastAsiaTheme="minorEastAsia"/>
          <w:szCs w:val="28"/>
        </w:rPr>
        <w:t>На основании качественного и количественного анализа делаем вывод, что деталь является достаточно технологичной.</w:t>
      </w:r>
    </w:p>
    <w:p w:rsidR="004C6B11" w:rsidRPr="004C6B11" w:rsidRDefault="004C6B11" w:rsidP="004C6B11">
      <w:pPr>
        <w:pStyle w:val="a6"/>
        <w:rPr>
          <w:rFonts w:eastAsiaTheme="minorEastAsia"/>
          <w:szCs w:val="28"/>
        </w:rPr>
      </w:pPr>
    </w:p>
    <w:p w:rsidR="00146A13" w:rsidRPr="00146A13" w:rsidRDefault="00146A13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146A13">
        <w:rPr>
          <w:rFonts w:ascii="Times New Roman" w:eastAsia="Calibri" w:hAnsi="Times New Roman" w:cs="Times New Roman"/>
          <w:b/>
          <w:sz w:val="28"/>
        </w:rPr>
        <w:t>1.2.3 Анализ материала детали</w:t>
      </w:r>
    </w:p>
    <w:p w:rsidR="00A22B95" w:rsidRPr="00A22B95" w:rsidRDefault="00A22B95" w:rsidP="00146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B95">
        <w:rPr>
          <w:rFonts w:ascii="Times New Roman" w:hAnsi="Times New Roman" w:cs="Times New Roman"/>
          <w:sz w:val="28"/>
          <w:szCs w:val="28"/>
        </w:rPr>
        <w:lastRenderedPageBreak/>
        <w:t>Деталь изготавливается из стали 4</w:t>
      </w:r>
      <w:r w:rsidR="00E33C31">
        <w:rPr>
          <w:rFonts w:ascii="Times New Roman" w:hAnsi="Times New Roman" w:cs="Times New Roman"/>
          <w:sz w:val="28"/>
          <w:szCs w:val="28"/>
        </w:rPr>
        <w:t>0Х</w:t>
      </w:r>
      <w:r w:rsidRPr="00A22B95">
        <w:rPr>
          <w:rFonts w:ascii="Times New Roman" w:hAnsi="Times New Roman" w:cs="Times New Roman"/>
          <w:sz w:val="28"/>
          <w:szCs w:val="28"/>
        </w:rPr>
        <w:t xml:space="preserve"> ГОСТ</w:t>
      </w:r>
      <w:r w:rsidR="00E33C31">
        <w:rPr>
          <w:rFonts w:ascii="Times New Roman" w:hAnsi="Times New Roman" w:cs="Times New Roman"/>
          <w:sz w:val="28"/>
          <w:szCs w:val="28"/>
        </w:rPr>
        <w:t xml:space="preserve"> 4543-</w:t>
      </w:r>
      <w:r w:rsidR="00605641">
        <w:rPr>
          <w:rFonts w:ascii="Times New Roman" w:hAnsi="Times New Roman" w:cs="Times New Roman"/>
          <w:sz w:val="28"/>
          <w:szCs w:val="28"/>
        </w:rPr>
        <w:t>2016</w:t>
      </w:r>
      <w:r w:rsidRPr="00A22B95">
        <w:rPr>
          <w:rFonts w:ascii="Times New Roman" w:hAnsi="Times New Roman" w:cs="Times New Roman"/>
          <w:sz w:val="28"/>
          <w:szCs w:val="28"/>
        </w:rPr>
        <w:t>. Химический состав</w:t>
      </w:r>
      <w:r w:rsidR="004C6B11">
        <w:rPr>
          <w:rFonts w:ascii="Times New Roman" w:hAnsi="Times New Roman" w:cs="Times New Roman"/>
          <w:sz w:val="28"/>
          <w:szCs w:val="28"/>
        </w:rPr>
        <w:t xml:space="preserve"> стали</w:t>
      </w:r>
      <w:r w:rsidR="00547D5C">
        <w:rPr>
          <w:rFonts w:ascii="Times New Roman" w:hAnsi="Times New Roman" w:cs="Times New Roman"/>
          <w:sz w:val="28"/>
          <w:szCs w:val="28"/>
        </w:rPr>
        <w:t xml:space="preserve"> приведен в таблице 1</w:t>
      </w:r>
      <w:r w:rsidR="004C6B11">
        <w:rPr>
          <w:rFonts w:ascii="Times New Roman" w:hAnsi="Times New Roman" w:cs="Times New Roman"/>
          <w:sz w:val="28"/>
          <w:szCs w:val="28"/>
        </w:rPr>
        <w:t>.2.3.1</w:t>
      </w:r>
      <w:r w:rsidRPr="00A22B95">
        <w:rPr>
          <w:rFonts w:ascii="Times New Roman" w:hAnsi="Times New Roman" w:cs="Times New Roman"/>
          <w:sz w:val="28"/>
          <w:szCs w:val="28"/>
        </w:rPr>
        <w:t>, механические свойст</w:t>
      </w:r>
      <w:r w:rsidR="00547D5C">
        <w:rPr>
          <w:rFonts w:ascii="Times New Roman" w:hAnsi="Times New Roman" w:cs="Times New Roman"/>
          <w:sz w:val="28"/>
          <w:szCs w:val="28"/>
        </w:rPr>
        <w:t>ва стали приведены в таблице 1</w:t>
      </w:r>
      <w:r w:rsidRPr="00A22B95">
        <w:rPr>
          <w:rFonts w:ascii="Times New Roman" w:hAnsi="Times New Roman" w:cs="Times New Roman"/>
          <w:sz w:val="28"/>
          <w:szCs w:val="28"/>
        </w:rPr>
        <w:t>.</w:t>
      </w:r>
      <w:r w:rsidR="004C6B11">
        <w:rPr>
          <w:rFonts w:ascii="Times New Roman" w:hAnsi="Times New Roman" w:cs="Times New Roman"/>
          <w:sz w:val="28"/>
          <w:szCs w:val="28"/>
        </w:rPr>
        <w:t>2.3.2</w:t>
      </w:r>
      <w:r w:rsidR="00AF547C">
        <w:rPr>
          <w:rFonts w:ascii="Times New Roman" w:hAnsi="Times New Roman" w:cs="Times New Roman"/>
          <w:sz w:val="28"/>
          <w:szCs w:val="28"/>
        </w:rPr>
        <w:t>.</w:t>
      </w:r>
    </w:p>
    <w:p w:rsidR="00A22B95" w:rsidRPr="00A22B95" w:rsidRDefault="00A22B95" w:rsidP="00A22B9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B95">
        <w:rPr>
          <w:rFonts w:ascii="Times New Roman" w:hAnsi="Times New Roman" w:cs="Times New Roman"/>
          <w:i/>
          <w:sz w:val="28"/>
          <w:szCs w:val="28"/>
        </w:rPr>
        <w:t>Таблица</w:t>
      </w:r>
      <w:r w:rsidR="00547D5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4C6B11">
        <w:rPr>
          <w:rFonts w:ascii="Times New Roman" w:hAnsi="Times New Roman" w:cs="Times New Roman"/>
          <w:i/>
          <w:sz w:val="28"/>
          <w:szCs w:val="28"/>
        </w:rPr>
        <w:t>.2</w:t>
      </w:r>
      <w:r w:rsidRPr="00A22B95">
        <w:rPr>
          <w:rFonts w:ascii="Times New Roman" w:hAnsi="Times New Roman" w:cs="Times New Roman"/>
          <w:i/>
          <w:sz w:val="28"/>
          <w:szCs w:val="28"/>
        </w:rPr>
        <w:t>.</w:t>
      </w:r>
      <w:r w:rsidR="004C6B11">
        <w:rPr>
          <w:rFonts w:ascii="Times New Roman" w:hAnsi="Times New Roman" w:cs="Times New Roman"/>
          <w:i/>
          <w:sz w:val="28"/>
          <w:szCs w:val="28"/>
        </w:rPr>
        <w:t>3.</w:t>
      </w:r>
      <w:r w:rsidRPr="00A22B95">
        <w:rPr>
          <w:rFonts w:ascii="Times New Roman" w:hAnsi="Times New Roman" w:cs="Times New Roman"/>
          <w:i/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22B95" w:rsidTr="00A22B95">
        <w:trPr>
          <w:trHeight w:val="340"/>
        </w:trPr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Si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Mn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Cr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Ni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P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Cu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</w:t>
            </w:r>
          </w:p>
        </w:tc>
      </w:tr>
      <w:tr w:rsidR="00A22B95" w:rsidTr="00A22B95">
        <w:trPr>
          <w:trHeight w:val="340"/>
        </w:trPr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2" w:type="dxa"/>
            <w:gridSpan w:val="4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</w:rPr>
              <w:t>не более</w:t>
            </w:r>
          </w:p>
        </w:tc>
      </w:tr>
      <w:tr w:rsidR="00A22B95" w:rsidTr="00A22B95"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0,36-0,44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0,17-0,37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0,50-0,80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0,80-1,10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</w:tr>
    </w:tbl>
    <w:p w:rsidR="00A22B95" w:rsidRP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B95" w:rsidRPr="00E33C31" w:rsidRDefault="00547D5C" w:rsidP="00E33C3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A22B95" w:rsidRPr="00E33C31">
        <w:rPr>
          <w:rFonts w:ascii="Times New Roman" w:hAnsi="Times New Roman" w:cs="Times New Roman"/>
          <w:i/>
          <w:sz w:val="28"/>
          <w:szCs w:val="28"/>
        </w:rPr>
        <w:t>.</w:t>
      </w:r>
      <w:r w:rsidR="004C6B11">
        <w:rPr>
          <w:rFonts w:ascii="Times New Roman" w:hAnsi="Times New Roman" w:cs="Times New Roman"/>
          <w:i/>
          <w:sz w:val="28"/>
          <w:szCs w:val="28"/>
        </w:rPr>
        <w:t>2.</w:t>
      </w:r>
      <w:r w:rsidR="00E33C31" w:rsidRPr="00E33C31">
        <w:rPr>
          <w:rFonts w:ascii="Times New Roman" w:hAnsi="Times New Roman" w:cs="Times New Roman"/>
          <w:i/>
          <w:sz w:val="28"/>
          <w:szCs w:val="28"/>
        </w:rPr>
        <w:t>3.2</w:t>
      </w:r>
    </w:p>
    <w:tbl>
      <w:tblPr>
        <w:tblStyle w:val="a4"/>
        <w:tblW w:w="9420" w:type="dxa"/>
        <w:tblLook w:val="04A0" w:firstRow="1" w:lastRow="0" w:firstColumn="1" w:lastColumn="0" w:noHBand="0" w:noVBand="1"/>
      </w:tblPr>
      <w:tblGrid>
        <w:gridCol w:w="1339"/>
        <w:gridCol w:w="1304"/>
        <w:gridCol w:w="1845"/>
        <w:gridCol w:w="1603"/>
        <w:gridCol w:w="1701"/>
        <w:gridCol w:w="1628"/>
      </w:tblGrid>
      <w:tr w:rsidR="00605641" w:rsidTr="00605641">
        <w:tc>
          <w:tcPr>
            <w:tcW w:w="1339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Твёрдость 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HB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, не более</w:t>
            </w:r>
          </w:p>
        </w:tc>
        <w:tc>
          <w:tcPr>
            <w:tcW w:w="1304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Предел текучести 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845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Временное сопротивление 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603" w:type="dxa"/>
            <w:vAlign w:val="center"/>
          </w:tcPr>
          <w:p w:rsidR="00E33C31" w:rsidRPr="00605641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удлинение δ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5</w:t>
            </w:r>
            <w:r w:rsidR="00605641">
              <w:rPr>
                <w:rFonts w:ascii="Times New Roman" w:hAnsi="Times New Roman" w:cs="Times New Roman"/>
                <w:b/>
                <w:sz w:val="24"/>
                <w:szCs w:val="28"/>
              </w:rPr>
              <w:t>, %</w:t>
            </w:r>
          </w:p>
        </w:tc>
        <w:tc>
          <w:tcPr>
            <w:tcW w:w="1701" w:type="dxa"/>
            <w:vAlign w:val="center"/>
          </w:tcPr>
          <w:p w:rsidR="00E33C31" w:rsidRPr="008E3083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сужение ψ, %</w:t>
            </w:r>
          </w:p>
        </w:tc>
        <w:tc>
          <w:tcPr>
            <w:tcW w:w="1628" w:type="dxa"/>
            <w:vAlign w:val="center"/>
          </w:tcPr>
          <w:p w:rsidR="00E33C31" w:rsidRPr="00605641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Ударная вязкость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KCU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 Дж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см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</w:tr>
      <w:tr w:rsidR="00605641" w:rsidTr="00605641">
        <w:tc>
          <w:tcPr>
            <w:tcW w:w="1339" w:type="dxa"/>
          </w:tcPr>
          <w:p w:rsidR="00E33C31" w:rsidRPr="008E3083" w:rsidRDefault="008E3083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271</w:t>
            </w:r>
          </w:p>
        </w:tc>
        <w:tc>
          <w:tcPr>
            <w:tcW w:w="1304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785</w:t>
            </w:r>
          </w:p>
        </w:tc>
        <w:tc>
          <w:tcPr>
            <w:tcW w:w="1845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1603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701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1628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59</w:t>
            </w:r>
          </w:p>
        </w:tc>
      </w:tr>
    </w:tbl>
    <w:p w:rsid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5A8D" w:rsidRDefault="00605641" w:rsidP="004C6B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641">
        <w:rPr>
          <w:rFonts w:ascii="Times New Roman" w:hAnsi="Times New Roman" w:cs="Times New Roman"/>
          <w:sz w:val="28"/>
          <w:szCs w:val="28"/>
        </w:rPr>
        <w:t>Сталь 40Х ГОСТ 4543-2016 относится к конструкционным легированным хромистым сталям широкого применения. Ее главными достоинствами являются прочность, износостойкость и устойчивость к коррозии. Сталь сложна в изготовлении, что сказывается на ее стоимости. Сталь применяется при изготовлении высокопрочных деталей механизмов и конструкций, таких как валы, оси, вал-шестерни, штоки, плунжеры, коленчатые и кулачковые валы, шпиндели, кольца, оправки, зубчатые венцы, болты, рейки, втулки.</w:t>
      </w:r>
    </w:p>
    <w:p w:rsidR="004C6B11" w:rsidRPr="00093278" w:rsidRDefault="004C6B11" w:rsidP="00093278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093278">
        <w:rPr>
          <w:rFonts w:ascii="Times New Roman" w:eastAsia="Calibri" w:hAnsi="Times New Roman" w:cs="Times New Roman"/>
          <w:b/>
          <w:sz w:val="28"/>
        </w:rPr>
        <w:t>Определение межоперационных припусков и размеров</w:t>
      </w:r>
      <w:r w:rsidR="00331787">
        <w:rPr>
          <w:rFonts w:ascii="Times New Roman" w:eastAsia="Calibri" w:hAnsi="Times New Roman" w:cs="Times New Roman"/>
          <w:b/>
          <w:sz w:val="28"/>
        </w:rPr>
        <w:t>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Расчёт межоперационных припусков будем производить на примере обработки поверхности </w:t>
      </w:r>
      <w:r w:rsidRPr="00093278">
        <w:rPr>
          <w:rFonts w:ascii="Cambria Math" w:hAnsi="Cambria Math" w:cs="Cambria Math"/>
          <w:bCs/>
          <w:sz w:val="28"/>
          <w:szCs w:val="28"/>
          <w:shd w:val="clear" w:color="auto" w:fill="FFFFFF"/>
        </w:rPr>
        <w:t>⌀</w:t>
      </w:r>
      <w:r w:rsidR="003317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82</w:t>
      </w:r>
      <w:r w:rsidR="003317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="00331787" w:rsidRPr="003317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10</w:t>
      </w: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 основным факторам, определяющим величину припуска относят:</w:t>
      </w:r>
    </w:p>
    <w:p w:rsidR="00093278" w:rsidRPr="00093278" w:rsidRDefault="00331787" w:rsidP="0033178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Высоту неровностей </w:t>
      </w:r>
      <w:proofErr w:type="spellStart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zi</w:t>
      </w:r>
      <w:proofErr w:type="spellEnd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полученную на предыдущей операции или переходе. Она зависит от метода получения поверхности и режимов резания.</w:t>
      </w:r>
    </w:p>
    <w:p w:rsidR="00093278" w:rsidRPr="00093278" w:rsidRDefault="00331787" w:rsidP="003317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- 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Состояние и глубина поверхностного дефектного слоя 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i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полученного на предыдущей операции или переходе. Этот слой необходимо удалять в любом случае, так как обычно в нём присутствуют остаточные напряжения, и он имеет отличительную структуру. Определяется по таблицам.</w:t>
      </w:r>
    </w:p>
    <w:p w:rsidR="00093278" w:rsidRPr="00093278" w:rsidRDefault="00331787" w:rsidP="003317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 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Суммарное значение пространственных отклонений Δ</w:t>
      </w:r>
      <w:proofErr w:type="spellStart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 расположении обрабатываемой поверхности относительно базовых поверхностей заготовки. Это может быть кривизна вала, коробление, смещение, увод, </w:t>
      </w: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 параллельность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неперпендикулярность и подобные отклонения формы и поверхностей.</w:t>
      </w:r>
    </w:p>
    <w:p w:rsidR="00093278" w:rsidRPr="00093278" w:rsidRDefault="00331787" w:rsidP="003317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Погрешность установки </w:t>
      </w:r>
      <w:proofErr w:type="spellStart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Ɛ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у</w:t>
      </w:r>
      <w:proofErr w:type="spellEnd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которая зависит от погрешности базирования </w:t>
      </w:r>
      <w:proofErr w:type="spellStart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Ɛ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б</w:t>
      </w:r>
      <w:proofErr w:type="spellEnd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несоответствие технологической и измерительной баз, и от погрешности закрепления </w:t>
      </w:r>
      <w:proofErr w:type="spellStart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Ɛ</w:t>
      </w:r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з</w:t>
      </w:r>
      <w:proofErr w:type="spellEnd"/>
      <w:r w:rsidR="00093278"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отклонение заготовки за счёт деформации материала при действии зажимной силы.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После расчёта всех показателей необходимо занести их в расчётную таблицу, для подсчёта припуска на обработку.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Начинаем с подбора высоты шероховатости и дефектного слоя: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заг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240 мкм,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заг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250 мкм;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1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120 мкм,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1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0 мкм;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2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40 мкм, 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2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0 мкм;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Отклонение поверхностей считаем по формуле для заготовки:</w:t>
      </w:r>
    </w:p>
    <w:p w:rsidR="00331787" w:rsidRPr="00331787" w:rsidRDefault="00093278" w:rsidP="00331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p=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кор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</m:e>
          </m:rad>
        </m:oMath>
      </m:oMathPara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кор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l</m:t>
          </m:r>
        </m:oMath>
      </m:oMathPara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см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1,3 мм;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Δ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proofErr w:type="spellEnd"/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0,2 мкм/мм;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="0033178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331787" w:rsidRPr="0033178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8,5</w:t>
      </w:r>
      <w:r w:rsidRPr="0009327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331787" w:rsidRDefault="00093278" w:rsidP="00331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кор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 0,2*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8,5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1,7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мкм</m:t>
        </m:r>
      </m:oMath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1300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1,7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1 300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мкм</m:t>
        </m:r>
      </m:oMath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Для точения: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w:lastRenderedPageBreak/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=0,2*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8,5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0,85 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мкм </m:t>
          </m:r>
        </m:oMath>
      </m:oMathPara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Погрешность установки отсутствуе</w:t>
      </w:r>
      <w:r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т так как применяется самоцент</w:t>
      </w:r>
      <w:r w:rsid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ри</w:t>
      </w:r>
      <w:r w:rsidR="0001704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рующийся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1704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патрон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  <w:r w:rsidR="0001704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Занесём полученные данные в таблицу </w:t>
      </w:r>
      <w:r w:rsidR="0001704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  <w:r w:rsidR="0001704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3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и подсчитаем расчётный припуск по формуле: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Таблица </w:t>
      </w:r>
      <w:r w:rsidR="0001704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1.3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Расчётная таблица припусков.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67"/>
        <w:gridCol w:w="567"/>
        <w:gridCol w:w="708"/>
        <w:gridCol w:w="426"/>
        <w:gridCol w:w="708"/>
        <w:gridCol w:w="851"/>
        <w:gridCol w:w="567"/>
        <w:gridCol w:w="850"/>
        <w:gridCol w:w="851"/>
        <w:gridCol w:w="850"/>
        <w:gridCol w:w="993"/>
      </w:tblGrid>
      <w:tr w:rsidR="00093278" w:rsidRPr="00897076" w:rsidTr="00093278">
        <w:trPr>
          <w:trHeight w:val="1691"/>
        </w:trPr>
        <w:tc>
          <w:tcPr>
            <w:tcW w:w="1702" w:type="dxa"/>
            <w:vMerge w:val="restart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Технологические переходы обработки элементарной поверхности</w:t>
            </w:r>
          </w:p>
        </w:tc>
        <w:tc>
          <w:tcPr>
            <w:tcW w:w="2268" w:type="dxa"/>
            <w:gridSpan w:val="4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Элементы припуска, мкм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Расчётный припуск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vin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</w:rPr>
              <w:t xml:space="preserve">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мкм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 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Расчётный размер </w:t>
            </w: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P</w:t>
            </w:r>
            <w:proofErr w:type="spellEnd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</w:rPr>
              <w:t xml:space="preserve">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мм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Допуск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δ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, мкм</w:t>
            </w:r>
          </w:p>
        </w:tc>
        <w:tc>
          <w:tcPr>
            <w:tcW w:w="1701" w:type="dxa"/>
            <w:gridSpan w:val="2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Предельные размеры, мм</w:t>
            </w:r>
          </w:p>
        </w:tc>
        <w:tc>
          <w:tcPr>
            <w:tcW w:w="1843" w:type="dxa"/>
            <w:gridSpan w:val="2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Предельные значения припусков, мкм</w:t>
            </w:r>
          </w:p>
        </w:tc>
      </w:tr>
      <w:tr w:rsidR="00093278" w:rsidRPr="00897076" w:rsidTr="00093278">
        <w:trPr>
          <w:trHeight w:val="552"/>
        </w:trPr>
        <w:tc>
          <w:tcPr>
            <w:tcW w:w="1702" w:type="dxa"/>
            <w:vMerge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R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p</w:t>
            </w:r>
          </w:p>
        </w:tc>
        <w:tc>
          <w:tcPr>
            <w:tcW w:w="426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proofErr w:type="spellStart"/>
            <w:r w:rsidRPr="00897076">
              <w:rPr>
                <w:rFonts w:ascii="Times New Roman" w:hAnsi="Times New Roman" w:cs="Times New Roman"/>
                <w:bCs/>
                <w:i/>
                <w:shd w:val="clear" w:color="auto" w:fill="FFFFFF"/>
              </w:rPr>
              <w:t>Ɛ</w:t>
            </w:r>
            <w:r w:rsidRPr="00897076">
              <w:rPr>
                <w:rFonts w:ascii="Times New Roman" w:hAnsi="Times New Roman" w:cs="Times New Roman"/>
                <w:bCs/>
                <w:i/>
                <w:shd w:val="clear" w:color="auto" w:fill="FFFFFF"/>
                <w:vertAlign w:val="subscript"/>
              </w:rPr>
              <w:t>у</w:t>
            </w:r>
            <w:proofErr w:type="spellEnd"/>
          </w:p>
        </w:tc>
        <w:tc>
          <w:tcPr>
            <w:tcW w:w="708" w:type="dxa"/>
            <w:vMerge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Merge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Merge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perscript"/>
              </w:rPr>
              <w:t>пр</w:t>
            </w:r>
            <w:proofErr w:type="spellEnd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min</w:t>
            </w:r>
          </w:p>
        </w:tc>
        <w:tc>
          <w:tcPr>
            <w:tcW w:w="993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proofErr w:type="spellStart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perscript"/>
              </w:rPr>
              <w:t>пр</w:t>
            </w:r>
            <w:proofErr w:type="spellEnd"/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max</w:t>
            </w:r>
          </w:p>
        </w:tc>
      </w:tr>
      <w:tr w:rsidR="00093278" w:rsidRPr="00897076" w:rsidTr="00093278">
        <w:tc>
          <w:tcPr>
            <w:tcW w:w="1702" w:type="dxa"/>
            <w:vAlign w:val="center"/>
          </w:tcPr>
          <w:p w:rsidR="00093278" w:rsidRPr="00897076" w:rsidRDefault="00093278" w:rsidP="00331787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Заготовка (поковка </w:t>
            </w:r>
            <w:r w:rsidR="00331787">
              <w:rPr>
                <w:rFonts w:ascii="Times New Roman" w:eastAsiaTheme="minorEastAsia" w:hAnsi="Times New Roman" w:cs="Times New Roman"/>
                <w:bCs/>
                <w:shd w:val="clear" w:color="auto" w:fill="FFFFFF"/>
                <w:lang w:val="en-US"/>
              </w:rPr>
              <w:t>IV</w:t>
            </w: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кл</w:t>
            </w:r>
            <w:proofErr w:type="spellEnd"/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. точности)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240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250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1300</w:t>
            </w:r>
          </w:p>
        </w:tc>
        <w:tc>
          <w:tcPr>
            <w:tcW w:w="426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83,967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16"/>
                <w:shd w:val="clear" w:color="auto" w:fill="FFFFFF"/>
              </w:rPr>
              <w:t>2000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84</w:t>
            </w: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86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</w:tr>
      <w:tr w:rsidR="00093278" w:rsidRPr="00897076" w:rsidTr="00093278">
        <w:tc>
          <w:tcPr>
            <w:tcW w:w="1702" w:type="dxa"/>
            <w:vAlign w:val="center"/>
          </w:tcPr>
          <w:p w:rsidR="00093278" w:rsidRPr="00897076" w:rsidRDefault="00093278" w:rsidP="00331787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1. </w:t>
            </w:r>
            <w:r w:rsidR="00331787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Растачивание</w:t>
            </w: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 (черновое)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120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13,4</w:t>
            </w:r>
          </w:p>
        </w:tc>
        <w:tc>
          <w:tcPr>
            <w:tcW w:w="426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3580</w:t>
            </w: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80,387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300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80,4</w:t>
            </w: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80,7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3600</w:t>
            </w:r>
          </w:p>
        </w:tc>
        <w:tc>
          <w:tcPr>
            <w:tcW w:w="993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5300</w:t>
            </w:r>
          </w:p>
        </w:tc>
      </w:tr>
      <w:tr w:rsidR="00093278" w:rsidRPr="00897076" w:rsidTr="00093278">
        <w:tc>
          <w:tcPr>
            <w:tcW w:w="1702" w:type="dxa"/>
            <w:vAlign w:val="center"/>
          </w:tcPr>
          <w:p w:rsidR="00093278" w:rsidRPr="00897076" w:rsidRDefault="00093278" w:rsidP="00331787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2. </w:t>
            </w:r>
            <w:r w:rsidR="00331787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Растачивание</w:t>
            </w: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 (чистовое)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40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426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287</w:t>
            </w: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80,100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120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80,1</w:t>
            </w: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80,22</w:t>
            </w: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300</w:t>
            </w:r>
          </w:p>
        </w:tc>
        <w:tc>
          <w:tcPr>
            <w:tcW w:w="993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480</w:t>
            </w:r>
          </w:p>
        </w:tc>
      </w:tr>
      <w:tr w:rsidR="00093278" w:rsidRPr="00897076" w:rsidTr="00093278">
        <w:tc>
          <w:tcPr>
            <w:tcW w:w="1702" w:type="dxa"/>
            <w:vAlign w:val="center"/>
          </w:tcPr>
          <w:p w:rsidR="00093278" w:rsidRPr="00897076" w:rsidRDefault="00093278" w:rsidP="00331787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Итого:</w:t>
            </w: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426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3998</w:t>
            </w:r>
          </w:p>
        </w:tc>
        <w:tc>
          <w:tcPr>
            <w:tcW w:w="993" w:type="dxa"/>
            <w:vAlign w:val="center"/>
          </w:tcPr>
          <w:p w:rsidR="00093278" w:rsidRPr="00897076" w:rsidRDefault="00093278" w:rsidP="003317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5979</w:t>
            </w:r>
          </w:p>
        </w:tc>
      </w:tr>
    </w:tbl>
    <w:p w:rsid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01704E" w:rsidRPr="0001704E" w:rsidRDefault="0001704E" w:rsidP="0001704E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2Z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 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=2(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)</m:t>
          </m:r>
        </m:oMath>
      </m:oMathPara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240+250+1300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=3580 мкм</m:t>
        </m:r>
      </m:oMath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120+0+13,4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=287 мкм</m:t>
        </m:r>
      </m:oMath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  <w:bookmarkStart w:id="0" w:name="_GoBack"/>
      <w:bookmarkEnd w:id="0"/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Производим расчёт размеров на перехода</w:t>
      </w:r>
      <w:r w:rsid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х, начиная с последнего, за </w:t>
      </w:r>
      <w:proofErr w:type="spellStart"/>
      <w:r w:rsid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кот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рый</w:t>
      </w:r>
      <w:proofErr w:type="spellEnd"/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принимаем нижнюю границу допуска вала.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2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80,020 + 0,080 = 80,100 мм;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1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80,100 + 0,287 = 80,387 мм;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заг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80,387 + 3,580 = 83,967 мм.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Определяем допуск на размеры и рассчитываем предельное отклонение по формулам:</w:t>
      </w:r>
    </w:p>
    <w:p w:rsidR="00093278" w:rsidRPr="00331787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max</w:t>
      </w:r>
      <w:proofErr w:type="spellEnd"/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dp</w:t>
      </w:r>
      <w:proofErr w:type="spellEnd"/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093278" w:rsidRPr="00331787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min</w:t>
      </w:r>
      <w:proofErr w:type="spellEnd"/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dp</w:t>
      </w:r>
      <w:proofErr w:type="spellEnd"/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31787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.</w:t>
      </w:r>
    </w:p>
    <w:p w:rsidR="00093278" w:rsidRPr="00331787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>Определяем</w:t>
      </w:r>
      <w:r w:rsidRP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предельные</w:t>
      </w:r>
      <w:r w:rsidRP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значения</w:t>
      </w:r>
      <w:r w:rsidRP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припусков</w:t>
      </w:r>
      <w:r w:rsidRPr="0033178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: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i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 xml:space="preserve">i+1 max 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- d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>i max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 xml:space="preserve">;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i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d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 xml:space="preserve">i+1 min 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- d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>i min</w:t>
      </w:r>
      <w:r w:rsidRPr="00093278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.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2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80,4 – 80,1 = 300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1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84 – 80,4 = 3600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2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80,7 – 80,22 = 480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093278" w:rsidRPr="00093278" w:rsidRDefault="00093278" w:rsidP="00331787">
      <w:pPr>
        <w:pStyle w:val="a3"/>
        <w:spacing w:after="0" w:line="360" w:lineRule="auto"/>
        <w:ind w:left="0" w:firstLine="709"/>
        <w:contextualSpacing w:val="0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1 </w:t>
      </w:r>
      <w:proofErr w:type="spellStart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86 – 80,7 = 5300 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093278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.</w:t>
      </w:r>
    </w:p>
    <w:p w:rsidR="00093278" w:rsidRDefault="00093278" w:rsidP="0033178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Построим схему графического расположения припусков:</w:t>
      </w:r>
    </w:p>
    <w:p w:rsidR="0001704E" w:rsidRPr="0001704E" w:rsidRDefault="0001704E" w:rsidP="0001704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93278">
        <w:rPr>
          <w:rFonts w:ascii="Times New Roman" w:eastAsia="Calibri" w:hAnsi="Times New Roman" w:cs="Times New Roman"/>
          <w:b/>
          <w:sz w:val="28"/>
        </w:rPr>
        <w:t>1.4 Определение типа и размера исходной заготовки.</w:t>
      </w:r>
    </w:p>
    <w:p w:rsidR="00D160E7" w:rsidRPr="00897076" w:rsidRDefault="00D160E7" w:rsidP="000932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 xml:space="preserve">Припуски на механическую обработку для поковки определяем по ГОСТ 7505-89. </w:t>
      </w:r>
    </w:p>
    <w:p w:rsidR="00D160E7" w:rsidRPr="00897076" w:rsidRDefault="00D160E7" w:rsidP="000932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</w:rPr>
        <w:tab/>
        <w:t>Расчёт начи</w:t>
      </w:r>
      <w:r>
        <w:rPr>
          <w:rFonts w:ascii="Times New Roman" w:hAnsi="Times New Roman" w:cs="Times New Roman"/>
          <w:sz w:val="28"/>
        </w:rPr>
        <w:t>наем с исходных данных чертежа, материал детали – сталь 40Х ГОСТ 4543-71, м</w:t>
      </w:r>
      <w:r w:rsidRPr="00897076">
        <w:rPr>
          <w:rFonts w:ascii="Times New Roman" w:hAnsi="Times New Roman" w:cs="Times New Roman"/>
          <w:sz w:val="28"/>
          <w:szCs w:val="28"/>
        </w:rPr>
        <w:t xml:space="preserve">асса детали – </w:t>
      </w:r>
      <w:r w:rsidRPr="0089707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r w:rsidRPr="008970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6,11 кг.</w:t>
      </w:r>
    </w:p>
    <w:p w:rsidR="0094597B" w:rsidRDefault="00D160E7" w:rsidP="0009327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>Далее определ</w:t>
      </w:r>
      <w:r>
        <w:rPr>
          <w:rFonts w:ascii="Times New Roman" w:hAnsi="Times New Roman" w:cs="Times New Roman"/>
          <w:sz w:val="28"/>
        </w:rPr>
        <w:t>яем исходные данные для расчёта, м</w:t>
      </w:r>
      <w:r w:rsidR="0094597B">
        <w:rPr>
          <w:rFonts w:ascii="Times New Roman" w:hAnsi="Times New Roman" w:cs="Times New Roman"/>
          <w:sz w:val="28"/>
        </w:rPr>
        <w:t>асса поковки (расчётная):</w:t>
      </w:r>
    </w:p>
    <w:p w:rsidR="0094597B" w:rsidRDefault="0094597B" w:rsidP="009459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д </w:t>
      </w:r>
      <w:r w:rsidRPr="00897076">
        <w:rPr>
          <w:rFonts w:ascii="Times New Roman" w:hAnsi="Times New Roman" w:cs="Times New Roman"/>
          <w:i/>
          <w:sz w:val="28"/>
          <w:szCs w:val="28"/>
        </w:rPr>
        <w:t xml:space="preserve">* </w:t>
      </w:r>
      <w:proofErr w:type="spellStart"/>
      <w:r w:rsidRPr="00897076">
        <w:rPr>
          <w:rFonts w:ascii="Times New Roman" w:hAnsi="Times New Roman" w:cs="Times New Roman"/>
          <w:i/>
          <w:sz w:val="28"/>
        </w:rPr>
        <w:t>К</w:t>
      </w:r>
      <w:r w:rsidRPr="00897076">
        <w:rPr>
          <w:rFonts w:ascii="Times New Roman" w:hAnsi="Times New Roman" w:cs="Times New Roman"/>
          <w:i/>
          <w:sz w:val="24"/>
        </w:rPr>
        <w:t>р</w:t>
      </w:r>
      <w:proofErr w:type="spellEnd"/>
      <w:r w:rsidRPr="00897076">
        <w:rPr>
          <w:rFonts w:ascii="Times New Roman" w:hAnsi="Times New Roman" w:cs="Times New Roman"/>
          <w:i/>
          <w:sz w:val="24"/>
        </w:rPr>
        <w:t xml:space="preserve"> = </w:t>
      </w:r>
      <w:r w:rsidRPr="00897076">
        <w:rPr>
          <w:rFonts w:ascii="Times New Roman" w:hAnsi="Times New Roman" w:cs="Times New Roman"/>
          <w:i/>
          <w:sz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vertAlign w:val="subscript"/>
        </w:rPr>
        <w:t>з</w:t>
      </w:r>
      <w:r w:rsidR="00D160E7" w:rsidRPr="00897076">
        <w:rPr>
          <w:rFonts w:ascii="Times New Roman" w:hAnsi="Times New Roman" w:cs="Times New Roman"/>
          <w:sz w:val="28"/>
        </w:rPr>
        <w:tab/>
      </w:r>
    </w:p>
    <w:p w:rsidR="00D160E7" w:rsidRPr="00897076" w:rsidRDefault="00D160E7" w:rsidP="0094597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897076">
        <w:rPr>
          <w:rFonts w:ascii="Times New Roman" w:hAnsi="Times New Roman" w:cs="Times New Roman"/>
          <w:sz w:val="28"/>
        </w:rPr>
        <w:t xml:space="preserve">расчётный коэффициент </w:t>
      </w:r>
      <w:proofErr w:type="spellStart"/>
      <w:r w:rsidRPr="00897076">
        <w:rPr>
          <w:rFonts w:ascii="Times New Roman" w:hAnsi="Times New Roman" w:cs="Times New Roman"/>
          <w:i/>
          <w:sz w:val="28"/>
        </w:rPr>
        <w:t>К</w:t>
      </w:r>
      <w:r w:rsidRPr="00897076">
        <w:rPr>
          <w:rFonts w:ascii="Times New Roman" w:hAnsi="Times New Roman" w:cs="Times New Roman"/>
          <w:i/>
          <w:sz w:val="24"/>
        </w:rPr>
        <w:t>р</w:t>
      </w:r>
      <w:proofErr w:type="spellEnd"/>
      <w:r w:rsidRPr="00897076">
        <w:rPr>
          <w:rFonts w:ascii="Times New Roman" w:hAnsi="Times New Roman" w:cs="Times New Roman"/>
          <w:i/>
          <w:sz w:val="24"/>
        </w:rPr>
        <w:t xml:space="preserve"> </w:t>
      </w:r>
      <w:r w:rsidRPr="00897076">
        <w:rPr>
          <w:rFonts w:ascii="Times New Roman" w:hAnsi="Times New Roman" w:cs="Times New Roman"/>
          <w:sz w:val="24"/>
        </w:rPr>
        <w:t>= 1,6;</w:t>
      </w:r>
    </w:p>
    <w:p w:rsidR="00D160E7" w:rsidRPr="00897076" w:rsidRDefault="00D625F6" w:rsidP="0094597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6,</w:t>
      </w:r>
      <w:proofErr w:type="gramStart"/>
      <w:r>
        <w:rPr>
          <w:rFonts w:ascii="Times New Roman" w:hAnsi="Times New Roman" w:cs="Times New Roman"/>
          <w:i/>
          <w:sz w:val="28"/>
        </w:rPr>
        <w:t>11</w:t>
      </w:r>
      <w:r w:rsidR="00D160E7" w:rsidRPr="0089707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 *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1,6 = 9,8</w:t>
      </w:r>
      <w:r w:rsidR="00D160E7" w:rsidRPr="00897076">
        <w:rPr>
          <w:rFonts w:ascii="Times New Roman" w:hAnsi="Times New Roman" w:cs="Times New Roman"/>
          <w:i/>
          <w:sz w:val="28"/>
        </w:rPr>
        <w:t xml:space="preserve"> кг;</w:t>
      </w:r>
    </w:p>
    <w:p w:rsidR="00D160E7" w:rsidRPr="00897076" w:rsidRDefault="0094597B" w:rsidP="00D160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60E7" w:rsidRPr="00897076">
        <w:rPr>
          <w:rFonts w:ascii="Times New Roman" w:hAnsi="Times New Roman" w:cs="Times New Roman"/>
          <w:sz w:val="28"/>
        </w:rPr>
        <w:t>Класс точности – Т</w:t>
      </w:r>
      <w:r w:rsidR="00D625F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  <w:r w:rsidR="00D160E7" w:rsidRPr="00897076">
        <w:rPr>
          <w:rFonts w:ascii="Times New Roman" w:hAnsi="Times New Roman" w:cs="Times New Roman"/>
          <w:sz w:val="28"/>
        </w:rPr>
        <w:t>Для выбранной горизонтально-ковочной машины (ГКМ) доступные классы точности Т4, Т5;</w:t>
      </w:r>
    </w:p>
    <w:p w:rsidR="00D160E7" w:rsidRPr="00897076" w:rsidRDefault="0094597B" w:rsidP="00D160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Группа стали – М2. </w:t>
      </w:r>
      <w:r w:rsidR="00D160E7" w:rsidRPr="00897076">
        <w:rPr>
          <w:rFonts w:ascii="Times New Roman" w:hAnsi="Times New Roman" w:cs="Times New Roman"/>
          <w:sz w:val="28"/>
        </w:rPr>
        <w:t>Химический состав Сталь 40Х в процентах (%):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160E7" w:rsidRPr="00897076" w:rsidTr="00093278">
        <w:trPr>
          <w:trHeight w:val="340"/>
        </w:trPr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Fe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Cr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Si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Mn</w:t>
            </w:r>
            <w:proofErr w:type="spellEnd"/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Ni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Cu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</w:p>
        </w:tc>
      </w:tr>
      <w:tr w:rsidR="00D160E7" w:rsidRPr="00897076" w:rsidTr="00093278">
        <w:trPr>
          <w:trHeight w:val="721"/>
        </w:trPr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~97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0,36-0,44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0,8-1,1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0,17-0,37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0,5-0,8</w:t>
            </w:r>
          </w:p>
        </w:tc>
        <w:tc>
          <w:tcPr>
            <w:tcW w:w="1038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0,3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0,3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0,035</w:t>
            </w:r>
          </w:p>
        </w:tc>
        <w:tc>
          <w:tcPr>
            <w:tcW w:w="1039" w:type="dxa"/>
            <w:vAlign w:val="center"/>
          </w:tcPr>
          <w:p w:rsidR="00D160E7" w:rsidRPr="00897076" w:rsidRDefault="00D160E7" w:rsidP="000932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0,035</w:t>
            </w:r>
          </w:p>
        </w:tc>
      </w:tr>
    </w:tbl>
    <w:p w:rsidR="00D160E7" w:rsidRDefault="00D160E7" w:rsidP="00D160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ab/>
      </w:r>
    </w:p>
    <w:p w:rsidR="00D160E7" w:rsidRPr="00897076" w:rsidRDefault="00D160E7" w:rsidP="00D160E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>С(углерод) – 0,4 %;</w:t>
      </w:r>
    </w:p>
    <w:p w:rsidR="00D160E7" w:rsidRPr="00897076" w:rsidRDefault="00D160E7" w:rsidP="00D160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ab/>
        <w:t>Легирующие элементы – 2 %;</w:t>
      </w:r>
    </w:p>
    <w:p w:rsidR="00D160E7" w:rsidRPr="00897076" w:rsidRDefault="0094597B" w:rsidP="00D160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60E7" w:rsidRPr="00897076">
        <w:rPr>
          <w:rFonts w:ascii="Times New Roman" w:hAnsi="Times New Roman" w:cs="Times New Roman"/>
          <w:sz w:val="28"/>
        </w:rPr>
        <w:t>Степень сложности –</w:t>
      </w:r>
      <w:r>
        <w:rPr>
          <w:rFonts w:ascii="Times New Roman" w:hAnsi="Times New Roman" w:cs="Times New Roman"/>
          <w:sz w:val="28"/>
        </w:rPr>
        <w:t xml:space="preserve"> С1. Р</w:t>
      </w:r>
      <w:r w:rsidR="00D160E7" w:rsidRPr="00897076">
        <w:rPr>
          <w:rFonts w:ascii="Times New Roman" w:hAnsi="Times New Roman" w:cs="Times New Roman"/>
          <w:sz w:val="28"/>
        </w:rPr>
        <w:t>азмеры описывающей деталь фигуры (цилиндр) умножаем на поправочный коэффициент:</w:t>
      </w:r>
    </w:p>
    <w:p w:rsidR="00D160E7" w:rsidRPr="00897076" w:rsidRDefault="00D160E7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Cambria Math" w:hAnsi="Cambria Math" w:cs="Cambria Math"/>
          <w:bCs/>
          <w:i/>
          <w:sz w:val="28"/>
          <w:szCs w:val="28"/>
          <w:shd w:val="clear" w:color="auto" w:fill="FFFFFF"/>
        </w:rPr>
        <w:t>⌀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D625F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1,05 = </w:t>
      </w:r>
      <w:r w:rsidRPr="00897076">
        <w:rPr>
          <w:rFonts w:ascii="Cambria Math" w:hAnsi="Cambria Math" w:cs="Cambria Math"/>
          <w:bCs/>
          <w:i/>
          <w:sz w:val="28"/>
          <w:szCs w:val="28"/>
          <w:shd w:val="clear" w:color="auto" w:fill="FFFFFF"/>
        </w:rPr>
        <w:t>⌀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D625F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126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D160E7" w:rsidRPr="00897076" w:rsidRDefault="00D625F6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120</w:t>
      </w:r>
      <w:r w:rsidR="00D160E7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1,05 =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126</w:t>
      </w:r>
      <w:r w:rsidR="00D160E7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D160E7" w:rsidRPr="00897076" w:rsidRDefault="00D160E7" w:rsidP="00D160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lastRenderedPageBreak/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Находим массу фигуры через объём:</w:t>
      </w:r>
    </w:p>
    <w:p w:rsidR="0094597B" w:rsidRDefault="00D160E7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V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="0094597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D160E7" w:rsidRPr="00897076" w:rsidRDefault="00D160E7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V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π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="0094597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D160E7" w:rsidRPr="00897076" w:rsidRDefault="00D160E7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3,14 * </w:t>
      </w:r>
      <w:r w:rsidR="00D625F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63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="00D625F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126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7,820 / 1000 = </w:t>
      </w:r>
      <w:r w:rsidR="00D625F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12,25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кг</w:t>
      </w:r>
    </w:p>
    <w:p w:rsidR="00D160E7" w:rsidRPr="00897076" w:rsidRDefault="00D160E7" w:rsidP="00D160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Вычисляем отношение масса поковки к массе фигуры:</w:t>
      </w:r>
    </w:p>
    <w:p w:rsidR="00D160E7" w:rsidRPr="00897076" w:rsidRDefault="00D625F6" w:rsidP="0094597B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9,8</w:t>
      </w:r>
      <w:r w:rsidR="00D160E7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12,25</w:t>
      </w:r>
      <w:r w:rsidR="00D160E7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0,8</w:t>
      </w:r>
      <w:r w:rsidR="00D160E7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D160E7" w:rsidRDefault="00D160E7" w:rsidP="00D160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Определяем исходный индекс –</w:t>
      </w:r>
      <w:r w:rsidR="0094597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13.</w:t>
      </w:r>
    </w:p>
    <w:p w:rsidR="0094597B" w:rsidRDefault="0094597B" w:rsidP="00D160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Определяем основные припуски на размеры поковки (рис. 1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.3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94597B" w:rsidRDefault="0094597B" w:rsidP="0094597B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45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94763" wp14:editId="4AB48D89">
            <wp:extent cx="3857625" cy="353844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9"/>
                    <a:stretch/>
                  </pic:blipFill>
                  <pic:spPr bwMode="auto">
                    <a:xfrm>
                      <a:off x="0" y="0"/>
                      <a:ext cx="3869585" cy="354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11" w:rsidRDefault="0094597B" w:rsidP="0094597B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597B">
        <w:rPr>
          <w:rFonts w:ascii="Times New Roman" w:hAnsi="Times New Roman" w:cs="Times New Roman"/>
          <w:i/>
          <w:sz w:val="28"/>
          <w:szCs w:val="28"/>
        </w:rPr>
        <w:t>Рисунок 1.3</w:t>
      </w:r>
    </w:p>
    <w:p w:rsidR="00F444E7" w:rsidRPr="00F444E7" w:rsidRDefault="00F444E7" w:rsidP="00F444E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a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– 1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2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0 (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6,3)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– 2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F444E7" w:rsidRPr="00F444E7" w:rsidRDefault="00F444E7" w:rsidP="00F444E7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b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120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(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3,2)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– 2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F444E7" w:rsidRPr="00897076" w:rsidRDefault="00F444E7" w:rsidP="00F444E7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c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65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(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,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– 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1,8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F444E7" w:rsidRDefault="00F444E7" w:rsidP="00F444E7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Дополнительные припуски – 1,1 мм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.</w:t>
      </w:r>
    </w:p>
    <w:p w:rsidR="00F444E7" w:rsidRPr="00897076" w:rsidRDefault="00F444E7" w:rsidP="00F444E7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Штамповочные уклоны</w:t>
      </w:r>
      <w:r w:rsidRPr="00F444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 нару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жных поверхностей – не более 5°, д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ля внутренних поверхностей – не более 7°;</w:t>
      </w:r>
    </w:p>
    <w:p w:rsidR="00F444E7" w:rsidRPr="00897076" w:rsidRDefault="00F444E7" w:rsidP="00F444E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Рассчитываем размеры поковки и их допуски:</w:t>
      </w:r>
    </w:p>
    <w:p w:rsidR="00F444E7" w:rsidRPr="00897076" w:rsidRDefault="00F444E7" w:rsidP="00F444E7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0 +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*2 + 1,1 ≈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125,1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F444E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  <w:lang w:val="en-US"/>
        </w:rPr>
        <w:t>8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F444E7" w:rsidRPr="00897076" w:rsidRDefault="00F444E7" w:rsidP="00F444E7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120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*2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+ 1,1 ≈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125,1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  <w:lang w:val="en-US"/>
        </w:rPr>
        <w:t>1,8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-1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F444E7" w:rsidRPr="00897076" w:rsidRDefault="00F444E7" w:rsidP="00F444E7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65,5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-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1,8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*2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-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1,1 ≈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60,8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  <w:lang w:val="en-US"/>
        </w:rPr>
        <w:t>1,6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0,9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F444E7" w:rsidRDefault="00F444E7" w:rsidP="00F444E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Радиусы скруглений – 3 мм.</w:t>
      </w:r>
    </w:p>
    <w:p w:rsidR="00093278" w:rsidRDefault="00CC4578" w:rsidP="00093278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lang w:val="en-US"/>
        </w:rPr>
      </w:pPr>
      <w:r w:rsidRPr="00CC4578">
        <w:rPr>
          <w:rFonts w:ascii="Times New Roman" w:eastAsia="Calibri" w:hAnsi="Times New Roman" w:cs="Times New Roman"/>
          <w:b/>
          <w:sz w:val="28"/>
        </w:rPr>
        <w:t>1.5 Описание метода получения заготовки</w:t>
      </w:r>
      <w:r w:rsidR="00093278">
        <w:rPr>
          <w:rFonts w:ascii="Times New Roman" w:eastAsia="Calibri" w:hAnsi="Times New Roman" w:cs="Times New Roman"/>
          <w:b/>
          <w:sz w:val="28"/>
          <w:lang w:val="en-US"/>
        </w:rPr>
        <w:t>.</w:t>
      </w:r>
    </w:p>
    <w:p w:rsidR="00093278" w:rsidRPr="00093278" w:rsidRDefault="00093278" w:rsidP="00093278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lang w:val="en-US"/>
        </w:rPr>
      </w:pPr>
    </w:p>
    <w:sectPr w:rsidR="00093278" w:rsidRPr="00093278" w:rsidSect="00146A13">
      <w:footerReference w:type="default" r:id="rId10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7F" w:rsidRDefault="006C077F" w:rsidP="00146A13">
      <w:pPr>
        <w:spacing w:after="0" w:line="240" w:lineRule="auto"/>
      </w:pPr>
      <w:r>
        <w:separator/>
      </w:r>
    </w:p>
  </w:endnote>
  <w:endnote w:type="continuationSeparator" w:id="0">
    <w:p w:rsidR="006C077F" w:rsidRDefault="006C077F" w:rsidP="0014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357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93278" w:rsidRPr="00146A13" w:rsidRDefault="00093278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146A13">
          <w:rPr>
            <w:rFonts w:ascii="Times New Roman" w:hAnsi="Times New Roman" w:cs="Times New Roman"/>
            <w:sz w:val="28"/>
          </w:rPr>
          <w:fldChar w:fldCharType="begin"/>
        </w:r>
        <w:r w:rsidRPr="00146A13">
          <w:rPr>
            <w:rFonts w:ascii="Times New Roman" w:hAnsi="Times New Roman" w:cs="Times New Roman"/>
            <w:sz w:val="28"/>
          </w:rPr>
          <w:instrText>PAGE   \* MERGEFORMAT</w:instrText>
        </w:r>
        <w:r w:rsidRPr="00146A13">
          <w:rPr>
            <w:rFonts w:ascii="Times New Roman" w:hAnsi="Times New Roman" w:cs="Times New Roman"/>
            <w:sz w:val="28"/>
          </w:rPr>
          <w:fldChar w:fldCharType="separate"/>
        </w:r>
        <w:r w:rsidR="0001704E">
          <w:rPr>
            <w:rFonts w:ascii="Times New Roman" w:hAnsi="Times New Roman" w:cs="Times New Roman"/>
            <w:noProof/>
            <w:sz w:val="28"/>
          </w:rPr>
          <w:t>10</w:t>
        </w:r>
        <w:r w:rsidRPr="00146A1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93278" w:rsidRDefault="000932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7F" w:rsidRDefault="006C077F" w:rsidP="00146A13">
      <w:pPr>
        <w:spacing w:after="0" w:line="240" w:lineRule="auto"/>
      </w:pPr>
      <w:r>
        <w:separator/>
      </w:r>
    </w:p>
  </w:footnote>
  <w:footnote w:type="continuationSeparator" w:id="0">
    <w:p w:rsidR="006C077F" w:rsidRDefault="006C077F" w:rsidP="0014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6315"/>
    <w:multiLevelType w:val="multilevel"/>
    <w:tmpl w:val="DF0C69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DF714F7"/>
    <w:multiLevelType w:val="hybridMultilevel"/>
    <w:tmpl w:val="3E103656"/>
    <w:lvl w:ilvl="0" w:tplc="9FF2A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C68F5"/>
    <w:multiLevelType w:val="multilevel"/>
    <w:tmpl w:val="4190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B11FC5"/>
    <w:multiLevelType w:val="multilevel"/>
    <w:tmpl w:val="198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C7402"/>
    <w:multiLevelType w:val="hybridMultilevel"/>
    <w:tmpl w:val="EB3609AE"/>
    <w:lvl w:ilvl="0" w:tplc="8EDAE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E32F46"/>
    <w:multiLevelType w:val="multilevel"/>
    <w:tmpl w:val="1D50E7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90"/>
    <w:rsid w:val="0001704E"/>
    <w:rsid w:val="00064C3B"/>
    <w:rsid w:val="00093278"/>
    <w:rsid w:val="00101C22"/>
    <w:rsid w:val="00146A13"/>
    <w:rsid w:val="00221C7D"/>
    <w:rsid w:val="00225390"/>
    <w:rsid w:val="00331787"/>
    <w:rsid w:val="00424EB1"/>
    <w:rsid w:val="004C6B11"/>
    <w:rsid w:val="00547D5C"/>
    <w:rsid w:val="0055676F"/>
    <w:rsid w:val="00605641"/>
    <w:rsid w:val="006C077F"/>
    <w:rsid w:val="00700C3D"/>
    <w:rsid w:val="00702377"/>
    <w:rsid w:val="00784947"/>
    <w:rsid w:val="00895377"/>
    <w:rsid w:val="008E3083"/>
    <w:rsid w:val="0094597B"/>
    <w:rsid w:val="00A22B95"/>
    <w:rsid w:val="00A52C4F"/>
    <w:rsid w:val="00AF547C"/>
    <w:rsid w:val="00CC4578"/>
    <w:rsid w:val="00D160E7"/>
    <w:rsid w:val="00D625F6"/>
    <w:rsid w:val="00E0024D"/>
    <w:rsid w:val="00E33C31"/>
    <w:rsid w:val="00E53966"/>
    <w:rsid w:val="00E91942"/>
    <w:rsid w:val="00EF2457"/>
    <w:rsid w:val="00F2523E"/>
    <w:rsid w:val="00F444E7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9CCF"/>
  <w15:chartTrackingRefBased/>
  <w15:docId w15:val="{46B882FE-1ABE-41CC-9ED6-FDD5F80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947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5377"/>
    <w:pPr>
      <w:ind w:left="720"/>
      <w:contextualSpacing/>
    </w:pPr>
  </w:style>
  <w:style w:type="table" w:styleId="a4">
    <w:name w:val="Table Grid"/>
    <w:basedOn w:val="a1"/>
    <w:rsid w:val="00A22B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60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База"/>
    <w:basedOn w:val="a"/>
    <w:link w:val="a7"/>
    <w:qFormat/>
    <w:rsid w:val="00547D5C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База Знак"/>
    <w:basedOn w:val="a0"/>
    <w:link w:val="a6"/>
    <w:rsid w:val="00547D5C"/>
    <w:rPr>
      <w:rFonts w:ascii="Times New Roman" w:hAnsi="Times New Roman"/>
      <w:color w:val="000000"/>
      <w:sz w:val="28"/>
    </w:rPr>
  </w:style>
  <w:style w:type="paragraph" w:styleId="a8">
    <w:name w:val="No Spacing"/>
    <w:uiPriority w:val="1"/>
    <w:qFormat/>
    <w:rsid w:val="00101C22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46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A13"/>
  </w:style>
  <w:style w:type="paragraph" w:styleId="ab">
    <w:name w:val="footer"/>
    <w:basedOn w:val="a"/>
    <w:link w:val="ac"/>
    <w:uiPriority w:val="99"/>
    <w:unhideWhenUsed/>
    <w:rsid w:val="00146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C26B-AC27-41AB-9FCA-CC39C0B3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Бабушкин</cp:lastModifiedBy>
  <cp:revision>12</cp:revision>
  <dcterms:created xsi:type="dcterms:W3CDTF">2023-12-03T12:00:00Z</dcterms:created>
  <dcterms:modified xsi:type="dcterms:W3CDTF">2023-12-13T21:47:00Z</dcterms:modified>
</cp:coreProperties>
</file>