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Авдеев Василий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28.5.1990г.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8</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