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Авдеев Василий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15.8.1943г.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