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color w:val="2E74B5"/>
          <w:sz w:val="22"/>
        </w:rPr>
        <w:t>ТЕХНИЧЕСКОЕ ЗАДАНИЕ ЮРИСТУ</w:t>
      </w:r>
    </w:p>
    <w:p>
      <w:pPr>
        <w:spacing w:after="140"/>
      </w:pPr>
      <w:r>
        <w:rPr>
          <w:rFonts w:ascii="Calibri" w:hAnsi="Calibri" w:eastAsia="Calibri"/>
          <w:b/>
          <w:color w:val="1F4D78"/>
          <w:sz w:val="48"/>
        </w:rPr>
        <w:t>Правовая подготовка внедрения RFID-панели Hello Park во все парки</w:t>
      </w:r>
    </w:p>
    <w:p>
      <w:pPr>
        <w:spacing w:after="360"/>
      </w:pPr>
      <w:r>
        <w:rPr>
          <w:rFonts w:ascii="Calibri" w:hAnsi="Calibri" w:eastAsia="Calibri"/>
          <w:color w:val="5F6368"/>
          <w:sz w:val="25"/>
        </w:rPr>
        <w:t>Регистрация семьи, данные детей, RFID-браслеты, игровой профиль, программа лояльности и обмен данными между участниками системы</w:t>
      </w:r>
    </w:p>
    <w:p>
      <w:pPr>
        <w:spacing w:after="40" w:line="252" w:lineRule="auto"/>
      </w:pPr>
      <w:r>
        <w:rPr>
          <w:rFonts w:ascii="Calibri" w:hAnsi="Calibri" w:eastAsia="Calibri"/>
          <w:b/>
          <w:color w:val="202124"/>
          <w:sz w:val="21"/>
        </w:rPr>
        <w:t xml:space="preserve">Заказчик: </w:t>
      </w:r>
      <w:r>
        <w:rPr>
          <w:rFonts w:ascii="Calibri" w:hAnsi="Calibri" w:eastAsia="Calibri"/>
          <w:color w:val="202124"/>
          <w:sz w:val="21"/>
        </w:rPr>
        <w:t>Hello Park</w:t>
      </w:r>
    </w:p>
    <w:p>
      <w:pPr>
        <w:spacing w:after="40" w:line="252" w:lineRule="auto"/>
      </w:pPr>
      <w:r>
        <w:rPr>
          <w:rFonts w:ascii="Calibri" w:hAnsi="Calibri" w:eastAsia="Calibri"/>
          <w:b/>
          <w:color w:val="202124"/>
          <w:sz w:val="21"/>
        </w:rPr>
        <w:t xml:space="preserve">Адресат: </w:t>
      </w:r>
      <w:r>
        <w:rPr>
          <w:rFonts w:ascii="Calibri" w:hAnsi="Calibri" w:eastAsia="Calibri"/>
          <w:color w:val="202124"/>
          <w:sz w:val="21"/>
        </w:rPr>
        <w:t>Юрист / юридическая команда, отвечающая за персональные данные и договорную модель сети</w:t>
      </w:r>
    </w:p>
    <w:p>
      <w:pPr>
        <w:spacing w:after="40" w:line="252" w:lineRule="auto"/>
      </w:pPr>
      <w:r>
        <w:rPr>
          <w:rFonts w:ascii="Calibri" w:hAnsi="Calibri" w:eastAsia="Calibri"/>
          <w:b/>
          <w:color w:val="202124"/>
          <w:sz w:val="21"/>
        </w:rPr>
        <w:t xml:space="preserve">Версия: </w:t>
      </w:r>
      <w:r>
        <w:rPr>
          <w:rFonts w:ascii="Calibri" w:hAnsi="Calibri" w:eastAsia="Calibri"/>
          <w:color w:val="202124"/>
          <w:sz w:val="21"/>
        </w:rPr>
        <w:t>Черновик 1.0 от 18.08.2026</w:t>
      </w:r>
    </w:p>
    <w:p>
      <w:pPr>
        <w:spacing w:after="40" w:line="252" w:lineRule="auto"/>
      </w:pPr>
      <w:r>
        <w:rPr>
          <w:rFonts w:ascii="Calibri" w:hAnsi="Calibri" w:eastAsia="Calibri"/>
          <w:b/>
          <w:color w:val="202124"/>
          <w:sz w:val="21"/>
        </w:rPr>
        <w:t xml:space="preserve">Приоритет: </w:t>
      </w:r>
      <w:r>
        <w:rPr>
          <w:rFonts w:ascii="Calibri" w:hAnsi="Calibri" w:eastAsia="Calibri"/>
          <w:color w:val="202124"/>
          <w:sz w:val="21"/>
        </w:rPr>
        <w:t>Подготовить российские парки к запуску; для иностранных парков сформировать отдельный маршрут проверки по местному праву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2" w:space="0" w:color="E8EEF5"/>
              <w:left w:val="single" w:sz="2" w:space="0" w:color="E8EEF5"/>
              <w:bottom w:val="single" w:sz="2" w:space="0" w:color="E8EEF5"/>
              <w:right w:val="single" w:sz="2" w:space="0" w:color="E8EEF5"/>
              <w:insideH w:val="single" w:sz="2" w:space="0" w:color="E8EEF5"/>
              <w:insideV w:val="single" w:sz="2" w:space="0" w:color="E8EEF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4D78"/>
              </w:rPr>
              <w:t xml:space="preserve">Главный ожидаемый результат. </w:t>
            </w:r>
            <w:r>
              <w:rPr>
                <w:rFonts w:ascii="Calibri" w:hAnsi="Calibri" w:eastAsia="Calibri"/>
                <w:color w:val="202124"/>
              </w:rPr>
              <w:t>До запуска у каждого парка должна быть определена юридическая роль, оформлены необходимые уведомления и договоры, опубликован корректный комплект документов, а в интерфейсах должны быть внедрены согласованные тексты, отдельные согласия и доказуемая фиксация волеизъявления гостя.</w:t>
            </w:r>
          </w:p>
        </w:tc>
      </w:tr>
    </w:tbl>
    <w:p>
      <w:pPr>
        <w:spacing w:after="40"/>
      </w:pPr>
    </w:p>
    <w:p>
      <w:pPr>
        <w:pStyle w:val="Heading1"/>
      </w:pPr>
      <w:r>
        <w:t>1. Задача и границы работы</w:t>
      </w:r>
    </w:p>
    <w:p>
      <w:r>
        <w:t>Нужно провести правовую подготовку к внедрению единой RFID-системы в парках Hello Park. Система связана не только с выдачей браслета: она создает профиль семьи, обрабатывает данные взрослого и ребенка, сохраняет историю посещений и игровой прогресс, участвует в программе лояльности и может обмениваться данными с кассой, СКУД, CRM, SMS-провайдером и другими сервисами.</w:t>
      </w:r>
    </w:p>
    <w:p>
      <w:r>
        <w:t>Настоящее ТЗ описывает продукт обычным языком и задает перечень юридических решений и документов. Оно не фиксирует заранее, что каждый парк обязательно является самостоятельным оператором: юридическую роль каждого участника должен определить юрист по фактическим целям, полномочиям, договорам и доступу к данным.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  <w:tcBorders>
              <w:top w:val="single" w:sz="2" w:space="0" w:color="FFF4CE"/>
              <w:left w:val="single" w:sz="2" w:space="0" w:color="FFF4CE"/>
              <w:bottom w:val="single" w:sz="2" w:space="0" w:color="FFF4CE"/>
              <w:right w:val="single" w:sz="2" w:space="0" w:color="FFF4CE"/>
              <w:insideH w:val="single" w:sz="2" w:space="0" w:color="FFF4CE"/>
              <w:insideV w:val="single" w:sz="2" w:space="0" w:color="FFF4CE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4D78"/>
              </w:rPr>
              <w:t xml:space="preserve">Важно. </w:t>
            </w:r>
            <w:r>
              <w:rPr>
                <w:rFonts w:ascii="Calibri" w:hAnsi="Calibri" w:eastAsia="Calibri"/>
                <w:color w:val="202124"/>
              </w:rPr>
              <w:t>Термин «сборщик персональных данных» в итоговых документах не использовать. Для российского контура необходимо определить: оператор персональных данных, лицо, обрабатывающее данные по поручению оператора, либо самостоятельные операторы по разным целям.</w:t>
            </w:r>
          </w:p>
        </w:tc>
      </w:tr>
    </w:tbl>
    <w:p>
      <w:pPr>
        <w:spacing w:after="40"/>
      </w:pPr>
    </w:p>
    <w:p>
      <w:pPr>
        <w:pStyle w:val="Heading1"/>
      </w:pPr>
      <w:r>
        <w:t>2. Как работает система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Гость в парке сканирует QR-код и открывает мобильную форму регистрации, настроенную для конкретного парка и его юридического лица.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Взрослый вводит номер телефона, получает SMS-код и подтверждает номер. До продолжения система показывает обязательные и необязательные юридические действия.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Взрослый указывает свое ФИО и добавляет одного или нескольких детей: имя и дату рождения. Данные ребенка вводит взрослый, поэтому юрист должен определить форму подтверждения полномочий законного представителя.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Система создает семейный профиль и QR-код / идентификатор программы лояльности. Данные сохраняются в базе и становятся доступны в RFID-панели уполномоченному сотруднику парка.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После оплаты билета касса передает в систему номер чека и количество оплаченных входов либо иной токен активации. Без подтверждения оплаты привязка браслета должна быть заблокирована.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Кассир находит семью, выбирает ребенка, считывает UID RFID-браслета и привязывает браслет к профилю ребенка.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Во время посещения система связывает браслет с игровым профилем: аватаром, прогрессом, достижениями, уровнем, баллами и доступными или выданными призами. Фиксируются дата, время и парк посещения.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При повторном посещении семья находится по ФИО или номеру телефона. Новый браслет может быть связан с прежним игровым профилем, чтобы сохранить прогресс.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Дополнительно планируется или допускается обмен с кассой, СКУД, CRM / системой лояльности, SMS-провайдером, сервисами аналитики и Apple / Google Wallet. Каждый фактический обмен должен быть описан в реестре передач.</w:t>
      </w:r>
    </w:p>
    <w:p>
      <w:pPr>
        <w:pStyle w:val="Heading2"/>
      </w:pPr>
      <w:r>
        <w:t>2.1. Два канала регистрации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Саморегистрация: взрослый заполняет форму на своем телефоне по QR-коду.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Регистрация кассиром: сотрудник вводит те же данные в панели, если гость не может использовать телефон.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  <w:tcBorders>
              <w:top w:val="single" w:sz="2" w:space="0" w:color="FFF4CE"/>
              <w:left w:val="single" w:sz="2" w:space="0" w:color="FFF4CE"/>
              <w:bottom w:val="single" w:sz="2" w:space="0" w:color="FFF4CE"/>
              <w:right w:val="single" w:sz="2" w:space="0" w:color="FFF4CE"/>
              <w:insideH w:val="single" w:sz="2" w:space="0" w:color="FFF4CE"/>
              <w:insideV w:val="single" w:sz="2" w:space="0" w:color="FFF4CE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4D78"/>
              </w:rPr>
              <w:t xml:space="preserve">Требование к юристу. </w:t>
            </w:r>
            <w:r>
              <w:rPr>
                <w:rFonts w:ascii="Calibri" w:hAnsi="Calibri" w:eastAsia="Calibri"/>
                <w:color w:val="202124"/>
              </w:rPr>
              <w:t>Для регистрации кассиром подготовить равноценный сценарий получения и фиксации согласий. Нельзя считать, что кассир может принять согласие за гостя или пропустить его из-за ручного ввода.</w:t>
            </w:r>
          </w:p>
        </w:tc>
      </w:tr>
    </w:tbl>
    <w:p>
      <w:pPr>
        <w:spacing w:after="40"/>
      </w:pPr>
    </w:p>
    <w:p>
      <w:pPr>
        <w:pStyle w:val="Heading2"/>
      </w:pPr>
      <w:r>
        <w:t>2.2. Ссылки на продуктовые материалы</w:t>
      </w:r>
    </w:p>
    <w:p>
      <w:r>
        <w:t xml:space="preserve">Пример формы регистрации: </w:t>
      </w:r>
      <w:r>
        <w:rPr>
          <w:rFonts w:ascii="Calibri" w:hAnsi="Calibri" w:eastAsia="Calibri"/>
          <w:b/>
          <w:color w:val="9B1C1C"/>
        </w:rPr>
        <w:t>[ВСТАВИТЬ ПУБЛИЧНУЮ ТЕСТОВУЮ ССЫЛКУ ПЕРЕД ОТПРАВКОЙ ЮРИСТУ]</w:t>
      </w:r>
    </w:p>
    <w:p>
      <w:r>
        <w:t xml:space="preserve">Локальный прототип для продуктовой команды: </w:t>
      </w:r>
      <w:r>
        <w:rPr>
          <w:rFonts w:ascii="Calibri" w:hAnsi="Calibri" w:eastAsia="Calibri"/>
          <w:i/>
        </w:rPr>
        <w:t>guest-registration/index.html</w:t>
      </w:r>
    </w:p>
    <w:p>
      <w:r>
        <w:t xml:space="preserve">Текущие правила и политики всех парков: </w:t>
      </w:r>
      <w:hyperlink r:id="rId11">
        <w:r>
          <w:rPr>
            <w:rFonts w:ascii="Calibri" w:hAnsi="Calibri"/>
            <w:color w:val="2E74B5"/>
            <w:u w:val="single"/>
          </w:rPr>
          <w:t>https://hello-park.ru/r</w:t>
        </w:r>
      </w:hyperlink>
    </w:p>
    <w:p>
      <w:r>
        <w:t xml:space="preserve">Техническое описание текущего пользовательского пути: </w:t>
      </w:r>
      <w:r>
        <w:rPr>
          <w:rFonts w:ascii="Calibri" w:hAnsi="Calibri" w:eastAsia="Calibri"/>
          <w:i/>
        </w:rPr>
        <w:t>docs/ТЗ_Интеграция_Кассы_Активация_Браслетов.md</w:t>
      </w:r>
    </w:p>
    <w:p>
      <w:pPr>
        <w:pStyle w:val="Heading1"/>
      </w:pPr>
      <w:r>
        <w:t>3. Реестр данных, который необходимо подтвердить</w:t>
      </w:r>
    </w:p>
    <w:p>
      <w:r>
        <w:t>Юрист должен проверить каждую строку, определить правовое основание, сроки хранения, состав получателей и допустимость обработки данных ребенка. Если поле не нужно для заявленной цели, его следует исключить из продукта.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460"/>
        <w:gridCol w:w="2600"/>
        <w:gridCol w:w="2700"/>
      </w:tblGrid>
      <w:tr>
        <w:trPr>
          <w:tblHeader w:val="true"/>
        </w:trPr>
        <w:tc>
          <w:tcPr>
            <w:tcW w:type="dxa" w:w="1600"/>
            <w:shd w:fill="E8EEF5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Субъект / блок</w:t>
            </w:r>
          </w:p>
        </w:tc>
        <w:tc>
          <w:tcPr>
            <w:tcW w:type="dxa" w:w="2460"/>
            <w:shd w:fill="E8EEF5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Данные</w:t>
            </w:r>
          </w:p>
        </w:tc>
        <w:tc>
          <w:tcPr>
            <w:tcW w:type="dxa" w:w="2600"/>
            <w:shd w:fill="E8EEF5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Зачем нужны</w:t>
            </w:r>
          </w:p>
        </w:tc>
        <w:tc>
          <w:tcPr>
            <w:tcW w:type="dxa" w:w="2700"/>
            <w:shd w:fill="E8EEF5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Что должен решить юрист</w:t>
            </w:r>
          </w:p>
        </w:tc>
      </w:tr>
      <w:tr>
        <w:tc>
          <w:tcPr>
            <w:tcW w:type="dxa" w:w="16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Взрослый / родитель</w:t>
            </w:r>
          </w:p>
        </w:tc>
        <w:tc>
          <w:tcPr>
            <w:tcW w:type="dxa" w:w="24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ФИО; номер телефона; статус и время SMS-подтверждения</w:t>
            </w:r>
          </w:p>
        </w:tc>
        <w:tc>
          <w:tcPr>
            <w:tcW w:type="dxa" w:w="26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Создание и поиск семейного профиля; связь с ребенком; обслуживание в парке</w:t>
            </w:r>
          </w:p>
        </w:tc>
        <w:tc>
          <w:tcPr>
            <w:tcW w:type="dxa" w:w="27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Основание; обязательность ФИО; срок хранения; порядок идентификации при запросах</w:t>
            </w:r>
          </w:p>
        </w:tc>
      </w:tr>
      <w:tr>
        <w:tc>
          <w:tcPr>
            <w:tcW w:type="dxa" w:w="16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Ребенок</w:t>
            </w:r>
          </w:p>
        </w:tc>
        <w:tc>
          <w:tcPr>
            <w:tcW w:type="dxa" w:w="24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Имя; дата рождения; связь со взрослым</w:t>
            </w:r>
          </w:p>
        </w:tc>
        <w:tc>
          <w:tcPr>
            <w:tcW w:type="dxa" w:w="26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Создание игрового профиля; возрастные сценарии; сохранение прогресса</w:t>
            </w:r>
          </w:p>
        </w:tc>
        <w:tc>
          <w:tcPr>
            <w:tcW w:type="dxa" w:w="27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Кто дает согласие; подтверждение полномочий представителя; минимизация даты рождения</w:t>
            </w:r>
          </w:p>
        </w:tc>
      </w:tr>
      <w:tr>
        <w:tc>
          <w:tcPr>
            <w:tcW w:type="dxa" w:w="16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Системные идентификаторы</w:t>
            </w:r>
          </w:p>
        </w:tc>
        <w:tc>
          <w:tcPr>
            <w:tcW w:type="dxa" w:w="24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ID взрослого, ребенка, семьи; QR / ID карты лояльности</w:t>
            </w:r>
          </w:p>
        </w:tc>
        <w:tc>
          <w:tcPr>
            <w:tcW w:type="dxa" w:w="26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Связь записей и поиск профиля</w:t>
            </w:r>
          </w:p>
        </w:tc>
        <w:tc>
          <w:tcPr>
            <w:tcW w:type="dxa" w:w="27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Срок; защита QR от извлечения открытых персональных данных</w:t>
            </w:r>
          </w:p>
        </w:tc>
      </w:tr>
      <w:tr>
        <w:tc>
          <w:tcPr>
            <w:tcW w:type="dxa" w:w="16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RFID</w:t>
            </w:r>
          </w:p>
        </w:tc>
        <w:tc>
          <w:tcPr>
            <w:tcW w:type="dxa" w:w="24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UID браслета; статус; история привязки, замены и очистки</w:t>
            </w:r>
          </w:p>
        </w:tc>
        <w:tc>
          <w:tcPr>
            <w:tcW w:type="dxa" w:w="26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Идентификация игрового профиля во время посещения</w:t>
            </w:r>
          </w:p>
        </w:tc>
        <w:tc>
          <w:tcPr>
            <w:tcW w:type="dxa" w:w="27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Считать ли UID псевдонимным идентификатором; правила повторного использования браслета</w:t>
            </w:r>
          </w:p>
        </w:tc>
      </w:tr>
      <w:tr>
        <w:tc>
          <w:tcPr>
            <w:tcW w:type="dxa" w:w="16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Посещения</w:t>
            </w:r>
          </w:p>
        </w:tc>
        <w:tc>
          <w:tcPr>
            <w:tcW w:type="dxa" w:w="24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Парк; дата и время; привязка браслета; история повторных визитов</w:t>
            </w:r>
          </w:p>
        </w:tc>
        <w:tc>
          <w:tcPr>
            <w:tcW w:type="dxa" w:w="26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Оказание услуги; восстановление профиля; аналитика</w:t>
            </w:r>
          </w:p>
        </w:tc>
        <w:tc>
          <w:tcPr>
            <w:tcW w:type="dxa" w:w="27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Разделить операционные сроки и аналитику; определить момент обезличивания / удаления</w:t>
            </w:r>
          </w:p>
        </w:tc>
      </w:tr>
      <w:tr>
        <w:tc>
          <w:tcPr>
            <w:tcW w:type="dxa" w:w="16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Игровой профиль</w:t>
            </w:r>
          </w:p>
        </w:tc>
        <w:tc>
          <w:tcPr>
            <w:tcW w:type="dxa" w:w="24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Аватар; уровень; прогресс; достижения; баллы; призы; статус выдачи</w:t>
            </w:r>
          </w:p>
        </w:tc>
        <w:tc>
          <w:tcPr>
            <w:tcW w:type="dxa" w:w="26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Игровая механика и программа лояльности</w:t>
            </w:r>
          </w:p>
        </w:tc>
        <w:tc>
          <w:tcPr>
            <w:tcW w:type="dxa" w:w="27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Отдельно определить цели игры и маркетинга; правила удаления без потери обязательного учета</w:t>
            </w:r>
          </w:p>
        </w:tc>
      </w:tr>
      <w:tr>
        <w:tc>
          <w:tcPr>
            <w:tcW w:type="dxa" w:w="16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Оплата / касса</w:t>
            </w:r>
          </w:p>
        </w:tc>
        <w:tc>
          <w:tcPr>
            <w:tcW w:type="dxa" w:w="24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Номер чека; количество билетов; токен активации; возврат; время операции</w:t>
            </w:r>
          </w:p>
        </w:tc>
        <w:tc>
          <w:tcPr>
            <w:tcW w:type="dxa" w:w="26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Разрешение выдачи браслета и защита от дублей</w:t>
            </w:r>
          </w:p>
        </w:tc>
        <w:tc>
          <w:tcPr>
            <w:tcW w:type="dxa" w:w="27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Определить, какие данные относятся к конкретному гостю и какие сроки задают учетные требования</w:t>
            </w:r>
          </w:p>
        </w:tc>
      </w:tr>
      <w:tr>
        <w:tc>
          <w:tcPr>
            <w:tcW w:type="dxa" w:w="16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Согласия</w:t>
            </w:r>
          </w:p>
        </w:tc>
        <w:tc>
          <w:tcPr>
            <w:tcW w:type="dxa" w:w="24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Текст и версия документа; выбранные флажки; дата и время; канал; ID профиля; технические доказательства</w:t>
            </w:r>
          </w:p>
        </w:tc>
        <w:tc>
          <w:tcPr>
            <w:tcW w:type="dxa" w:w="26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Подтверждение законности обработки и рассылок</w:t>
            </w:r>
          </w:p>
        </w:tc>
        <w:tc>
          <w:tcPr>
            <w:tcW w:type="dxa" w:w="27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Утвердить состав доказательств и срок их хранения; отзыв должен быть связан с версией согласия</w:t>
            </w:r>
          </w:p>
        </w:tc>
      </w:tr>
      <w:tr>
        <w:tc>
          <w:tcPr>
            <w:tcW w:type="dxa" w:w="16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Технические данные</w:t>
            </w:r>
          </w:p>
        </w:tc>
        <w:tc>
          <w:tcPr>
            <w:tcW w:type="dxa" w:w="24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IP, устройство, браузер, журналы входов и действий, ошибки, идентификаторы сессий</w:t>
            </w:r>
          </w:p>
        </w:tc>
        <w:tc>
          <w:tcPr>
            <w:tcW w:type="dxa" w:w="26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Безопасность, расследование ошибок и инцидентов</w:t>
            </w:r>
          </w:p>
        </w:tc>
        <w:tc>
          <w:tcPr>
            <w:tcW w:type="dxa" w:w="27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Подтвердить фактический состав; сроки; доступ; отражение в политике</w:t>
            </w:r>
          </w:p>
        </w:tc>
      </w:tr>
      <w:tr>
        <w:tc>
          <w:tcPr>
            <w:tcW w:type="dxa" w:w="16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Сотрудники парка</w:t>
            </w:r>
          </w:p>
        </w:tc>
        <w:tc>
          <w:tcPr>
            <w:tcW w:type="dxa" w:w="24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Учетная запись кассира / администратора; парк; роль; журнал действий</w:t>
            </w:r>
          </w:p>
        </w:tc>
        <w:tc>
          <w:tcPr>
            <w:tcW w:type="dxa" w:w="26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Разграничение доступа и аудит операций</w:t>
            </w:r>
          </w:p>
        </w:tc>
        <w:tc>
          <w:tcPr>
            <w:tcW w:type="dxa" w:w="27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Основание обработки данных работников; хранение логов; информирование работников</w:t>
            </w:r>
          </w:p>
        </w:tc>
      </w:tr>
      <w:tr>
        <w:tc>
          <w:tcPr>
            <w:tcW w:type="dxa" w:w="16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Потенциальные данные</w:t>
            </w:r>
          </w:p>
        </w:tc>
        <w:tc>
          <w:tcPr>
            <w:tcW w:type="dxa" w:w="24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Email, пол, фото, изображение лица, геолокация, cookie / аналитика</w:t>
            </w:r>
          </w:p>
        </w:tc>
        <w:tc>
          <w:tcPr>
            <w:tcW w:type="dxa" w:w="26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Только если реально включено в финальный продукт</w:t>
            </w:r>
          </w:p>
        </w:tc>
        <w:tc>
          <w:tcPr>
            <w:tcW w:type="dxa" w:w="27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Не включать «на всякий случай»; фото / лицо отдельно проверить на биометрию и распознавание</w:t>
            </w:r>
          </w:p>
        </w:tc>
      </w:tr>
    </w:tbl>
    <w:p>
      <w:pPr>
        <w:spacing w:after="20"/>
      </w:pPr>
    </w:p>
    <w:p>
      <w:pPr>
        <w:pStyle w:val="Heading1"/>
      </w:pPr>
      <w:r>
        <w:t>4. Участники и карта передач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2300"/>
        <w:gridCol w:w="2760"/>
      </w:tblGrid>
      <w:tr>
        <w:trPr>
          <w:tblHeader w:val="true"/>
        </w:trPr>
        <w:tc>
          <w:tcPr>
            <w:tcW w:type="dxa" w:w="1700"/>
            <w:shd w:fill="E8EEF5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Участник</w:t>
            </w:r>
          </w:p>
        </w:tc>
        <w:tc>
          <w:tcPr>
            <w:tcW w:type="dxa" w:w="2600"/>
            <w:shd w:fill="E8EEF5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Фактическая роль в процессе</w:t>
            </w:r>
          </w:p>
        </w:tc>
        <w:tc>
          <w:tcPr>
            <w:tcW w:type="dxa" w:w="2300"/>
            <w:shd w:fill="E8EEF5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Юридический вопрос</w:t>
            </w:r>
          </w:p>
        </w:tc>
        <w:tc>
          <w:tcPr>
            <w:tcW w:type="dxa" w:w="2760"/>
            <w:shd w:fill="E8EEF5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Данные для проверки</w:t>
            </w:r>
          </w:p>
        </w:tc>
      </w:tr>
      <w:tr>
        <w:tc>
          <w:tcPr>
            <w:tcW w:type="dxa" w:w="17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Юрлицо парка</w:t>
            </w:r>
          </w:p>
        </w:tc>
        <w:tc>
          <w:tcPr>
            <w:tcW w:type="dxa" w:w="26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Кассиры и администраторы видят и меняют данные; парк оказывает услугу</w:t>
            </w:r>
          </w:p>
        </w:tc>
        <w:tc>
          <w:tcPr>
            <w:tcW w:type="dxa" w:w="23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Самостоятельный оператор либо лицо по поручению - определить по целям и договору</w:t>
            </w:r>
          </w:p>
        </w:tc>
        <w:tc>
          <w:tcPr>
            <w:tcW w:type="dxa" w:w="27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Полное наименование, ИНН / ОГРН, адрес, контакт по ПД, номер записи в реестре РКН</w:t>
            </w:r>
          </w:p>
        </w:tc>
      </w:tr>
      <w:tr>
        <w:tc>
          <w:tcPr>
            <w:tcW w:type="dxa" w:w="17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Центральная компания / владелец платформы</w:t>
            </w:r>
          </w:p>
        </w:tc>
        <w:tc>
          <w:tcPr>
            <w:tcW w:type="dxa" w:w="26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Разрабатывает и администрирует систему; хранит общую базу; задает механику</w:t>
            </w:r>
          </w:p>
        </w:tc>
        <w:tc>
          <w:tcPr>
            <w:tcW w:type="dxa" w:w="23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Оператор, совместно определяющее лицо или обработчик по поручению - дать заключение по каждой цели</w:t>
            </w:r>
          </w:p>
        </w:tc>
        <w:tc>
          <w:tcPr>
            <w:tcW w:type="dxa" w:w="27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Юрлицо, страна, договоры с парками, права доступа, право использовать данные для аналитики / лояльности</w:t>
            </w:r>
          </w:p>
        </w:tc>
      </w:tr>
      <w:tr>
        <w:tc>
          <w:tcPr>
            <w:tcW w:type="dxa" w:w="17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Хостинг и резервное копирование</w:t>
            </w:r>
          </w:p>
        </w:tc>
        <w:tc>
          <w:tcPr>
            <w:tcW w:type="dxa" w:w="26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Серверы, базы, резервные копии</w:t>
            </w:r>
          </w:p>
        </w:tc>
        <w:tc>
          <w:tcPr>
            <w:tcW w:type="dxa" w:w="23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Обработчик / подрядчик</w:t>
            </w:r>
          </w:p>
        </w:tc>
        <w:tc>
          <w:tcPr>
            <w:tcW w:type="dxa" w:w="27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Провайдер, страна и адрес ЦОД, субподрядчики, сроки резервных копий, удаление</w:t>
            </w:r>
          </w:p>
        </w:tc>
      </w:tr>
      <w:tr>
        <w:tc>
          <w:tcPr>
            <w:tcW w:type="dxa" w:w="17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SMS-провайдер</w:t>
            </w:r>
          </w:p>
        </w:tc>
        <w:tc>
          <w:tcPr>
            <w:tcW w:type="dxa" w:w="26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Телефон, код / статус доставки, журналы</w:t>
            </w:r>
          </w:p>
        </w:tc>
        <w:tc>
          <w:tcPr>
            <w:tcW w:type="dxa" w:w="23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Обработчик либо самостоятельный получатель</w:t>
            </w:r>
          </w:p>
        </w:tc>
        <w:tc>
          <w:tcPr>
            <w:tcW w:type="dxa" w:w="27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Договор-поручение, страна, состав логов, срок хранения</w:t>
            </w:r>
          </w:p>
        </w:tc>
      </w:tr>
      <w:tr>
        <w:tc>
          <w:tcPr>
            <w:tcW w:type="dxa" w:w="17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Кассовое ПО</w:t>
            </w:r>
          </w:p>
        </w:tc>
        <w:tc>
          <w:tcPr>
            <w:tcW w:type="dxa" w:w="26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Чек, билеты, токен; возможно телефон или user_id</w:t>
            </w:r>
          </w:p>
        </w:tc>
        <w:tc>
          <w:tcPr>
            <w:tcW w:type="dxa" w:w="23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Источник / получатель данных</w:t>
            </w:r>
          </w:p>
        </w:tc>
        <w:tc>
          <w:tcPr>
            <w:tcW w:type="dxa" w:w="27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Минимизировать payload; определить договор и ответственность за ошибочные передачи</w:t>
            </w:r>
          </w:p>
        </w:tc>
      </w:tr>
      <w:tr>
        <w:tc>
          <w:tcPr>
            <w:tcW w:type="dxa" w:w="17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СКУД / турникеты</w:t>
            </w:r>
          </w:p>
        </w:tc>
        <w:tc>
          <w:tcPr>
            <w:tcW w:type="dxa" w:w="26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user_id, UID RFID, дата и время</w:t>
            </w:r>
          </w:p>
        </w:tc>
        <w:tc>
          <w:tcPr>
            <w:tcW w:type="dxa" w:w="23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Получатель данных для допуска</w:t>
            </w:r>
          </w:p>
        </w:tc>
        <w:tc>
          <w:tcPr>
            <w:tcW w:type="dxa" w:w="27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Проверить необходимость всех полей, срок и режим доступа</w:t>
            </w:r>
          </w:p>
        </w:tc>
      </w:tr>
      <w:tr>
        <w:tc>
          <w:tcPr>
            <w:tcW w:type="dxa" w:w="17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CRM / программа лояльности</w:t>
            </w:r>
          </w:p>
        </w:tc>
        <w:tc>
          <w:tcPr>
            <w:tcW w:type="dxa" w:w="26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ФИО, телефон, профиль, посещения, баллы</w:t>
            </w:r>
          </w:p>
        </w:tc>
        <w:tc>
          <w:tcPr>
            <w:tcW w:type="dxa" w:w="23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Получатель / обработчик / самостоятельный оператор</w:t>
            </w:r>
          </w:p>
        </w:tc>
        <w:tc>
          <w:tcPr>
            <w:tcW w:type="dxa" w:w="27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Цели сервиса и маркетинга разделить; определить участников программы</w:t>
            </w:r>
          </w:p>
        </w:tc>
      </w:tr>
      <w:tr>
        <w:tc>
          <w:tcPr>
            <w:tcW w:type="dxa" w:w="17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Аналитика, теги, cookies</w:t>
            </w:r>
          </w:p>
        </w:tc>
        <w:tc>
          <w:tcPr>
            <w:tcW w:type="dxa" w:w="26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Онлайн-идентификаторы, IP, события</w:t>
            </w:r>
          </w:p>
        </w:tc>
        <w:tc>
          <w:tcPr>
            <w:tcW w:type="dxa" w:w="23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Внешний сервис</w:t>
            </w:r>
          </w:p>
        </w:tc>
        <w:tc>
          <w:tcPr>
            <w:tcW w:type="dxa" w:w="27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Провайдер, страна, согласие на cookies, локализация и трансграничная передача</w:t>
            </w:r>
          </w:p>
        </w:tc>
      </w:tr>
      <w:tr>
        <w:tc>
          <w:tcPr>
            <w:tcW w:type="dxa" w:w="17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Apple / Google Wallet</w:t>
            </w:r>
          </w:p>
        </w:tc>
        <w:tc>
          <w:tcPr>
            <w:tcW w:type="dxa" w:w="26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Идентификатор карты и данные пропуска</w:t>
            </w:r>
          </w:p>
        </w:tc>
        <w:tc>
          <w:tcPr>
            <w:tcW w:type="dxa" w:w="23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Внешний сервис</w:t>
            </w:r>
          </w:p>
        </w:tc>
        <w:tc>
          <w:tcPr>
            <w:tcW w:type="dxa" w:w="27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6"/>
              </w:rPr>
              <w:t>Фактический состав и трансграничная передача; не запускать до отдельного решения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Ключевые юридические задачи</w:t>
      </w:r>
    </w:p>
    <w:p>
      <w:pPr>
        <w:pStyle w:val="Heading2"/>
      </w:pPr>
      <w:r>
        <w:t>5.1. Определить операторов по каждой цели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Составить матрицу целей: посещение и допуск, игровой профиль, программа лояльности, маркетинг, аналитика, поддержка и безопасность.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По каждой цели указать, кто определяет состав данных и операции: парк, центральная компания или оба участника независимо.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Если парк действует только по документированному поручению центрального оператора, подготовить поручение обработки с обязательными условиями. Если парк использует данные для собственных целей, квалифицировать его как самостоятельного оператора по этим целям.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Проверить, допускает ли договорная модель сети единые тексты, или документы должны быть индивидуализированы по каждому юрлицу парка.</w:t>
      </w:r>
    </w:p>
    <w:p>
      <w:pPr>
        <w:pStyle w:val="Heading2"/>
      </w:pPr>
      <w:r>
        <w:t>5.2. Уведомления Роскомнадзора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Для каждого российского юрлица проверить наличие и актуальность записи в реестре операторов персональных данных.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Если уведомление не подавалось либо не покрывает новые цели, категории субъектов, состав данных, способы обработки, место базы и подрядчиков - подготовить подачу или изменение сведений до запуска.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Отдельно проверить обязанность уведомления о трансграничной передаче, если к данным получают доступ иностранные компании или данные передаются иностранным сервисам.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Предоставить Hello Park подтверждение подачи, регистрационный номер и копию окончательной формы по каждому парку.</w:t>
      </w:r>
    </w:p>
    <w:p>
      <w:r>
        <w:t xml:space="preserve">Официальная форма уведомлений утверждена приказом Роскомнадзора от 28.10.2022 № 180: </w:t>
      </w:r>
      <w:hyperlink r:id="rId12">
        <w:r>
          <w:rPr>
            <w:rFonts w:ascii="Calibri" w:hAnsi="Calibri"/>
            <w:color w:val="2E74B5"/>
            <w:u w:val="single"/>
          </w:rPr>
          <w:t>официальная публикация</w:t>
        </w:r>
      </w:hyperlink>
    </w:p>
    <w:p>
      <w:pPr>
        <w:pStyle w:val="Heading2"/>
      </w:pPr>
      <w:r>
        <w:t>5.3. Правовые основания и согласия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Разнести основания обработки: исполнение договора / оказание услуги, согласие, обязанности по закону и иные применимые основания. Не использовать согласие там, где юрист рекомендует более устойчивое основание.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Подготовить отдельное согласие на обработку персональных данных. С 01.09.2025 согласие должно оформляться отдельно от иной информации и документов, которые подтверждает или подписывает субъект; текущий объединенный флажок формы требует пересмотра.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Отделить обязательную обработку для услуги от необязательных маркетинговых коммуникаций. Отказ от рекламы не должен блокировать вход в парк, создание профиля или начисление игровых баллов, если маркетинг не нужен для услуги.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Подготовить отдельное подтверждаемое согласие на рекламу по SMS, телефону, email и мессенджерам, если такие каналы используются.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Утвердить текст о данных ребенка и подтверждение, что форму заполняет родитель / законный представитель. Определить достаточный способ проверки полномочий без избыточного сбора паспортных данных.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Если профиль, имя, фото, аватар или достижения публикуются для неопределенного круга лиц, отдельно проверить режим данных, разрешенных для распространения.</w:t>
      </w:r>
    </w:p>
    <w:p>
      <w:pPr>
        <w:pStyle w:val="Heading2"/>
      </w:pPr>
      <w:r>
        <w:t>5.4. Публичные и договорные документы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Политика обработки персональных данных для RFID-системы и формы регистрации - по каждому оператору либо единый документ с ясным распределением ролей.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Согласие взрослого на обработку собственных данных.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Согласие / подтверждение законного представителя на обработку данных ребенка.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Правила программы лояльности с описанием владельца программы, участников, баллов, призов, срока действия и последствий удаления профиля.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Отдельное согласие на рекламные сообщения.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Cookie-уведомление и настройка аналитики для веб-формы.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Поручения на обработку и договорные приложения с центральной компанией, парками, хостингом, SMS, CRM, СКУД и другими подрядчиками.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Внутренние документы оператора: политика, перечни данных и допущенных лиц, назначение ответственного, порядок запросов субъектов, сроки хранения и уничтожения, обучение персонала, порядок инцидентов.</w:t>
      </w:r>
    </w:p>
    <w:p>
      <w:pPr>
        <w:pStyle w:val="Heading2"/>
      </w:pPr>
      <w:r>
        <w:t>5.5. Защита, доступ, сроки и инциденты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Утвердить принцип доступа только к данным своего парка и необходимым функциям; отдельно описать доступ центральной поддержки и администраторов.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Задать сроки хранения по каждой цели, включая архивы и резервные копии. Формулировки «бессрочно» или «неограниченно» заменить на обоснованные сроки и события удаления.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Установить процесс исправления, выгрузки, отзыва согласия, прекращения рассылок, блокирования и удаления данных, включая данные ребенка и связанные записи RFID / лояльности.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Подготовить регламент инцидентов: кто фиксирует событие, кому парк сообщает внутри сети, кто взаимодействует с Роскомнадзором и субъектами. Процесс должен позволять выполнить применимые уведомления Роскомнадзора в течение 24 часов об инциденте и в течение 72 часов о результатах внутреннего расследования.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Подтвердить первичную запись и хранение данных граждан РФ в базах на территории России и проверить все иностранные сервисы / доступы.</w:t>
      </w:r>
    </w:p>
    <w:p>
      <w:pPr>
        <w:pStyle w:val="Heading1"/>
      </w:pPr>
      <w:r>
        <w:t>6. Что уже видно по текущему прототипу и документам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Один флажок формы объединяет правила парка, программу лояльности и согласие на обработку данных. Юрист должен дать отдельные тексты и указать, какие флажки обязательны, а какие добровольны.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Прототип жестко ведет на документы парка Avenue Sever / «Селигерская». При запуске ссылка и реквизиты должны определяться конкретным парком, а сервер должен фиксировать версию показанного документа.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Текущие политики парков в основном описывают посетителей сайта и типовой набор «имя, email, телефон, cookies». RFID-система добавляет данные ребенка, UID браслета, посещения, игровой прогресс, баллы, призы и обмены с кассой / СКУД / CRM; действующий охват нужно расширить.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В опубликованных политиках уже указаны разные операторы по паркам. Это подтверждает, что нельзя выпустить одну обезличенную форму без маршрутизации по юрлицу и без общей договорной модели.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Некоторые политики заявляют отсутствие передачи третьим лицам или неограниченный срок обработки. Эти положения могут не соответствовать будущей архитектуре с центральной платформой и подрядчиками и должны быть проверены.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В текущем прототипе регистрация и SMS являются имитацией и данные не сохраняются на сервере. До юридического заключения нужно предоставить финальную архитектуру: где база, кто администрирует, кто видит данные, какие API и подрядчики реально включены.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  <w:tcBorders>
              <w:top w:val="single" w:sz="2" w:space="0" w:color="FCE8E6"/>
              <w:left w:val="single" w:sz="2" w:space="0" w:color="FCE8E6"/>
              <w:bottom w:val="single" w:sz="2" w:space="0" w:color="FCE8E6"/>
              <w:right w:val="single" w:sz="2" w:space="0" w:color="FCE8E6"/>
              <w:insideH w:val="single" w:sz="2" w:space="0" w:color="FCE8E6"/>
              <w:insideV w:val="single" w:sz="2" w:space="0" w:color="FCE8E6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4D78"/>
              </w:rPr>
              <w:t xml:space="preserve">Стоп-фактор запуска. </w:t>
            </w:r>
            <w:r>
              <w:rPr>
                <w:rFonts w:ascii="Calibri" w:hAnsi="Calibri" w:eastAsia="Calibri"/>
                <w:color w:val="202124"/>
              </w:rPr>
              <w:t>Не переносить текущий единый флажок и ссылки «Селигерской» в промышленную форму для всех парков без письменного согласования юриста.</w:t>
            </w:r>
          </w:p>
        </w:tc>
      </w:tr>
    </w:tbl>
    <w:p>
      <w:pPr>
        <w:spacing w:after="40"/>
      </w:pPr>
    </w:p>
    <w:p>
      <w:pPr>
        <w:pStyle w:val="Heading1"/>
      </w:pPr>
      <w:r>
        <w:t>7. Результаты, которые должен передать юрист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</w:rPr>
        <w:t>Письменное заключение по ролевой модели: оператор(ы), обработчики по поручению, самостоятельные цели и ответственность сторон.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</w:rPr>
        <w:t>Матрица готовности по каждому парку: юрлицо, страна, оператор, запись в реестре / местная регистрация, необходимые действия, статус и блокеры.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</w:rPr>
        <w:t>Заполненные и готовые к подаче уведомления Роскомнадзора и уведомления об изменении сведений; при необходимости - документы по трансграничной передаче.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</w:rPr>
        <w:t>Финальный комплект публичных документов и согласий с переменными для конкретного парка.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</w:rPr>
        <w:t>Договорная схема и шаблоны поручений / приложений со всеми участниками обработки.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</w:rPr>
        <w:t>Точные требования к интерфейсу: тексты, отдельные флажки, обязательность, порядок переходов, возрастные формулировки, ссылки, версии и состав журналируемых доказательств.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</w:rPr>
        <w:t>Реестр данных и передач с утвержденными сроками хранения и правилами удаления.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</w:rPr>
        <w:t>Внутренний пакет для парков: приказ о назначении ответственного, инструкции кассиру и администратору, матрица доступа, обработка запросов, уничтожение, обучение и инциденты.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</w:rPr>
        <w:t>Финальный юридический чек-лист допуска к запуску с подписью / подтверждением по каждому парку.</w:t>
      </w:r>
    </w:p>
    <w:p>
      <w:pPr>
        <w:pStyle w:val="Heading2"/>
      </w:pPr>
      <w:r>
        <w:t>7.1. Критерии приемки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☐ По каждому парку есть однозначно указанное юрлицо и юридическая роль.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☐ Нет ссылок на документы другого парка или другого оператора.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☐ Все поля формы отражены в документах и имеют цель, основание и срок хранения.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☐ Согласия разделены и могут быть доказаны по конкретной версии текста.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☐ Маркетинг отключаем и не является условием обязательной услуги.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☐ Данные ребенка и полномочия взрослого оформлены согласованным способом.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☐ Все получатели и подрядчики отражены в договорной и публичной документации.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☐ Подтверждены уведомления регулятору и локализация базы; трансграничные потоки либо оформлены, либо отключены.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☐ Назначены ответственные и утвержден регламент запросов / удаления / инцидентов.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☐ Продуктовая команда получила точные тексты и правила поведения интерфейса без двусмысленных рекомендаций.</w:t>
      </w:r>
    </w:p>
    <w:p>
      <w:r>
        <w:br w:type="page"/>
      </w:r>
    </w:p>
    <w:p>
      <w:pPr>
        <w:pStyle w:val="Heading1"/>
      </w:pPr>
      <w:r>
        <w:t>8. Информация, которую Hello Park должен предоставить юристу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Перечень всех парков в фактическом охвате запуска и их юридические реквизиты.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Договоры франшизы / лицензии / оказания IT-услуг между центральной компанией и парками.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Существующие номера записей в реестре операторов и копии ранее поданных уведомлений.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Архитектурную схему: серверы, базы, резервные копии, страны размещения, администраторы и удаленный доступ.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Перечень подрядчиков и договоров: хостинг, SMS, CRM, аналитика, касса, СКУД, Wallet, поддержка.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Финальный список полей, API payload и журналов; отдельно - какие функции уже есть и какие только планируются.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Матрицу ролей сотрудников и перечень операций, доступных кассиру, администратору парка и центральной поддержке.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Желаемые сроки сохранения профиля, прогресса, истории визитов, баллов и неиспользованных призов.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Публичную тестовую ссылку на форму и тестовый доступ к RFID-панели.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Контакты ответственных от продукта, IT, безопасности, маркетинга и операционного блока.</w:t>
      </w:r>
    </w:p>
    <w:p>
      <w:pPr>
        <w:pStyle w:val="Heading1"/>
      </w:pPr>
      <w:r>
        <w:t>9. Матрица решений, которую просим заполнить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960"/>
        <w:gridCol w:w="3900"/>
      </w:tblGrid>
      <w:tr>
        <w:trPr>
          <w:tblHeader w:val="true"/>
        </w:trPr>
        <w:tc>
          <w:tcPr>
            <w:tcW w:type="dxa" w:w="2500"/>
            <w:shd w:fill="E8EEF5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Вопрос</w:t>
            </w:r>
          </w:p>
        </w:tc>
        <w:tc>
          <w:tcPr>
            <w:tcW w:type="dxa" w:w="2960"/>
            <w:shd w:fill="E8EEF5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Решение юриста</w:t>
            </w:r>
          </w:p>
        </w:tc>
        <w:tc>
          <w:tcPr>
            <w:tcW w:type="dxa" w:w="3900"/>
            <w:shd w:fill="E8EEF5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Что должно быть выдано</w:t>
            </w:r>
          </w:p>
        </w:tc>
      </w:tr>
      <w:tr>
        <w:tc>
          <w:tcPr>
            <w:tcW w:type="dxa" w:w="25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Оператор данных взрослого</w:t>
            </w:r>
          </w:p>
        </w:tc>
        <w:tc>
          <w:tcPr>
            <w:tcW w:type="dxa" w:w="29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Кто и по каким целям?</w:t>
            </w:r>
          </w:p>
        </w:tc>
        <w:tc>
          <w:tcPr>
            <w:tcW w:type="dxa" w:w="39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Юрлицо, обоснование, документы</w:t>
            </w:r>
          </w:p>
        </w:tc>
      </w:tr>
      <w:tr>
        <w:tc>
          <w:tcPr>
            <w:tcW w:type="dxa" w:w="25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Оператор данных ребенка</w:t>
            </w:r>
          </w:p>
        </w:tc>
        <w:tc>
          <w:tcPr>
            <w:tcW w:type="dxa" w:w="29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Совпадает ли с оператором взрослого?</w:t>
            </w:r>
          </w:p>
        </w:tc>
        <w:tc>
          <w:tcPr>
            <w:tcW w:type="dxa" w:w="39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Юрлицо, основание, форма представительства</w:t>
            </w:r>
          </w:p>
        </w:tc>
      </w:tr>
      <w:tr>
        <w:tc>
          <w:tcPr>
            <w:tcW w:type="dxa" w:w="25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Центральная база</w:t>
            </w:r>
          </w:p>
        </w:tc>
        <w:tc>
          <w:tcPr>
            <w:tcW w:type="dxa" w:w="29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Оператор или обработчик?</w:t>
            </w:r>
          </w:p>
        </w:tc>
        <w:tc>
          <w:tcPr>
            <w:tcW w:type="dxa" w:w="39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Договорная конструкция и ответственность</w:t>
            </w:r>
          </w:p>
        </w:tc>
      </w:tr>
      <w:tr>
        <w:tc>
          <w:tcPr>
            <w:tcW w:type="dxa" w:w="25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Уведомление РКН</w:t>
            </w:r>
          </w:p>
        </w:tc>
        <w:tc>
          <w:tcPr>
            <w:tcW w:type="dxa" w:w="29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Новое / изменение / не требуется</w:t>
            </w:r>
          </w:p>
        </w:tc>
        <w:tc>
          <w:tcPr>
            <w:tcW w:type="dxa" w:w="39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Основание, дата, номер, подтверждение</w:t>
            </w:r>
          </w:p>
        </w:tc>
      </w:tr>
      <w:tr>
        <w:tc>
          <w:tcPr>
            <w:tcW w:type="dxa" w:w="25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Трансграничная передача</w:t>
            </w:r>
          </w:p>
        </w:tc>
        <w:tc>
          <w:tcPr>
            <w:tcW w:type="dxa" w:w="29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Есть / нет</w:t>
            </w:r>
          </w:p>
        </w:tc>
        <w:tc>
          <w:tcPr>
            <w:tcW w:type="dxa" w:w="39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Страны, получатели, уведомление или запрет</w:t>
            </w:r>
          </w:p>
        </w:tc>
      </w:tr>
      <w:tr>
        <w:tc>
          <w:tcPr>
            <w:tcW w:type="dxa" w:w="25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Обязательное согласие</w:t>
            </w:r>
          </w:p>
        </w:tc>
        <w:tc>
          <w:tcPr>
            <w:tcW w:type="dxa" w:w="29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Нужно ли и на какие цели?</w:t>
            </w:r>
          </w:p>
        </w:tc>
        <w:tc>
          <w:tcPr>
            <w:tcW w:type="dxa" w:w="39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Финальный отдельный текст</w:t>
            </w:r>
          </w:p>
        </w:tc>
      </w:tr>
      <w:tr>
        <w:tc>
          <w:tcPr>
            <w:tcW w:type="dxa" w:w="25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Маркетинг</w:t>
            </w:r>
          </w:p>
        </w:tc>
        <w:tc>
          <w:tcPr>
            <w:tcW w:type="dxa" w:w="29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Какие каналы и кто рекламораспространитель?</w:t>
            </w:r>
          </w:p>
        </w:tc>
        <w:tc>
          <w:tcPr>
            <w:tcW w:type="dxa" w:w="39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Отдельное согласие и отзыв</w:t>
            </w:r>
          </w:p>
        </w:tc>
      </w:tr>
      <w:tr>
        <w:tc>
          <w:tcPr>
            <w:tcW w:type="dxa" w:w="25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Сроки хранения</w:t>
            </w:r>
          </w:p>
        </w:tc>
        <w:tc>
          <w:tcPr>
            <w:tcW w:type="dxa" w:w="29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По каждому блоку данных</w:t>
            </w:r>
          </w:p>
        </w:tc>
        <w:tc>
          <w:tcPr>
            <w:tcW w:type="dxa" w:w="39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Срок / событие удаления / исключение</w:t>
            </w:r>
          </w:p>
        </w:tc>
      </w:tr>
      <w:tr>
        <w:tc>
          <w:tcPr>
            <w:tcW w:type="dxa" w:w="25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Инциденты</w:t>
            </w:r>
          </w:p>
        </w:tc>
        <w:tc>
          <w:tcPr>
            <w:tcW w:type="dxa" w:w="29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Кто уведомляет и принимает решения?</w:t>
            </w:r>
          </w:p>
        </w:tc>
        <w:tc>
          <w:tcPr>
            <w:tcW w:type="dxa" w:w="39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Регламент, контакты, сроки</w:t>
            </w:r>
          </w:p>
        </w:tc>
      </w:tr>
      <w:tr>
        <w:tc>
          <w:tcPr>
            <w:tcW w:type="dxa" w:w="25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Допуск к запуску</w:t>
            </w:r>
          </w:p>
        </w:tc>
        <w:tc>
          <w:tcPr>
            <w:tcW w:type="dxa" w:w="29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Разрешено / условно / запрещено</w:t>
            </w:r>
          </w:p>
        </w:tc>
        <w:tc>
          <w:tcPr>
            <w:tcW w:type="dxa" w:w="39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Условия и оставшиеся блокеры</w:t>
            </w:r>
          </w:p>
        </w:tc>
      </w:tr>
    </w:tbl>
    <w:p>
      <w:pPr>
        <w:spacing w:after="20"/>
      </w:pPr>
    </w:p>
    <w:p>
      <w:pPr>
        <w:pStyle w:val="Heading1"/>
      </w:pPr>
      <w:r>
        <w:t>10. Текущие документы российских парков</w:t>
      </w:r>
    </w:p>
    <w:p>
      <w:r>
        <w:t xml:space="preserve">Единая страница-реестр: </w:t>
      </w:r>
      <w:hyperlink r:id="rId11">
        <w:r>
          <w:rPr>
            <w:rFonts w:ascii="Calibri" w:hAnsi="Calibri"/>
            <w:color w:val="2E74B5"/>
            <w:u w:val="single"/>
          </w:rPr>
          <w:t>hello-park.ru/r</w:t>
        </w:r>
      </w:hyperlink>
      <w:r>
        <w:t>. Перечень ниже фиксирует опубликованные ссылки на дату подготовки ТЗ; юрист должен проверить фактическую редакцию и юридическое лицо в каждом документе.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990"/>
        <w:gridCol w:w="2100"/>
        <w:gridCol w:w="2820"/>
      </w:tblGrid>
      <w:tr>
        <w:trPr>
          <w:tblHeader w:val="true"/>
        </w:trPr>
        <w:tc>
          <w:tcPr>
            <w:tcW w:type="dxa" w:w="1450"/>
            <w:shd w:fill="E8EEF5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Парк</w:t>
            </w:r>
          </w:p>
        </w:tc>
        <w:tc>
          <w:tcPr>
            <w:tcW w:type="dxa" w:w="2990"/>
            <w:shd w:fill="E8EEF5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Оператор в текущей политике</w:t>
            </w:r>
          </w:p>
        </w:tc>
        <w:tc>
          <w:tcPr>
            <w:tcW w:type="dxa" w:w="2100"/>
            <w:shd w:fill="E8EEF5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Персональные данные</w:t>
            </w:r>
          </w:p>
        </w:tc>
        <w:tc>
          <w:tcPr>
            <w:tcW w:type="dxa" w:w="2820"/>
            <w:shd w:fill="E8EEF5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Другие документы</w:t>
            </w:r>
          </w:p>
        </w:tc>
      </w:tr>
      <w:tr>
        <w:tc>
          <w:tcPr>
            <w:tcW w:type="dxa" w:w="145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Благовещенск</w:t>
            </w:r>
          </w:p>
        </w:tc>
        <w:tc>
          <w:tcPr>
            <w:tcW w:type="dxa" w:w="299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ИП Никеенко Михаил Николаевич</w:t>
            </w:r>
          </w:p>
        </w:tc>
        <w:tc>
          <w:tcPr>
            <w:tcW w:type="dxa" w:w="21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13">
              <w:r>
                <w:rPr>
                  <w:rFonts w:ascii="Calibri" w:hAnsi="Calibri"/>
                  <w:color w:val="2E74B5"/>
                  <w:u w:val="single"/>
                </w:rPr>
                <w:t>Политика</w:t>
              </w:r>
            </w:hyperlink>
          </w:p>
        </w:tc>
        <w:tc>
          <w:tcPr>
            <w:tcW w:type="dxa" w:w="282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14">
              <w:r>
                <w:rPr>
                  <w:rFonts w:ascii="Calibri" w:hAnsi="Calibri"/>
                  <w:color w:val="2E74B5"/>
                  <w:u w:val="single"/>
                </w:rPr>
                <w:t>Правила</w:t>
              </w:r>
            </w:hyperlink>
          </w:p>
        </w:tc>
      </w:tr>
      <w:tr>
        <w:tc>
          <w:tcPr>
            <w:tcW w:type="dxa" w:w="145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Владикавказ</w:t>
            </w:r>
          </w:p>
        </w:tc>
        <w:tc>
          <w:tcPr>
            <w:tcW w:type="dxa" w:w="299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ООО «ИТ ТЕХГРУПП»</w:t>
            </w:r>
          </w:p>
        </w:tc>
        <w:tc>
          <w:tcPr>
            <w:tcW w:type="dxa" w:w="21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15">
              <w:r>
                <w:rPr>
                  <w:rFonts w:ascii="Calibri" w:hAnsi="Calibri"/>
                  <w:color w:val="2E74B5"/>
                  <w:u w:val="single"/>
                </w:rPr>
                <w:t>Политика</w:t>
              </w:r>
            </w:hyperlink>
          </w:p>
        </w:tc>
        <w:tc>
          <w:tcPr>
            <w:tcW w:type="dxa" w:w="282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16">
              <w:r>
                <w:rPr>
                  <w:rFonts w:ascii="Calibri" w:hAnsi="Calibri"/>
                  <w:color w:val="2E74B5"/>
                  <w:u w:val="single"/>
                </w:rPr>
                <w:t>Правила</w:t>
              </w:r>
            </w:hyperlink>
            <w:r>
              <w:rPr>
                <w:rFonts w:ascii="Calibri" w:hAnsi="Calibri" w:eastAsia="Calibri"/>
                <w:color w:val="5F6368"/>
                <w:sz w:val="17"/>
              </w:rPr>
              <w:t xml:space="preserve"> | </w:t>
            </w:r>
            <w:hyperlink r:id="rId17">
              <w:r>
                <w:rPr>
                  <w:rFonts w:ascii="Calibri" w:hAnsi="Calibri"/>
                  <w:color w:val="2E74B5"/>
                  <w:u w:val="single"/>
                </w:rPr>
                <w:t>Лояльность</w:t>
              </w:r>
            </w:hyperlink>
          </w:p>
        </w:tc>
      </w:tr>
      <w:tr>
        <w:tc>
          <w:tcPr>
            <w:tcW w:type="dxa" w:w="145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Воронеж</w:t>
            </w:r>
          </w:p>
        </w:tc>
        <w:tc>
          <w:tcPr>
            <w:tcW w:type="dxa" w:w="299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ООО «Карусель»</w:t>
            </w:r>
          </w:p>
        </w:tc>
        <w:tc>
          <w:tcPr>
            <w:tcW w:type="dxa" w:w="21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18">
              <w:r>
                <w:rPr>
                  <w:rFonts w:ascii="Calibri" w:hAnsi="Calibri"/>
                  <w:color w:val="2E74B5"/>
                  <w:u w:val="single"/>
                </w:rPr>
                <w:t>Политика</w:t>
              </w:r>
            </w:hyperlink>
          </w:p>
        </w:tc>
        <w:tc>
          <w:tcPr>
            <w:tcW w:type="dxa" w:w="282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19">
              <w:r>
                <w:rPr>
                  <w:rFonts w:ascii="Calibri" w:hAnsi="Calibri"/>
                  <w:color w:val="2E74B5"/>
                  <w:u w:val="single"/>
                </w:rPr>
                <w:t>Правила</w:t>
              </w:r>
            </w:hyperlink>
            <w:r>
              <w:rPr>
                <w:rFonts w:ascii="Calibri" w:hAnsi="Calibri" w:eastAsia="Calibri"/>
                <w:color w:val="5F6368"/>
                <w:sz w:val="17"/>
              </w:rPr>
              <w:t xml:space="preserve"> | </w:t>
            </w:r>
            <w:hyperlink r:id="rId20">
              <w:r>
                <w:rPr>
                  <w:rFonts w:ascii="Calibri" w:hAnsi="Calibri"/>
                  <w:color w:val="2E74B5"/>
                  <w:u w:val="single"/>
                </w:rPr>
                <w:t>Лояльность</w:t>
              </w:r>
            </w:hyperlink>
            <w:r>
              <w:rPr>
                <w:rFonts w:ascii="Calibri" w:hAnsi="Calibri" w:eastAsia="Calibri"/>
                <w:color w:val="5F6368"/>
                <w:sz w:val="17"/>
              </w:rPr>
              <w:t xml:space="preserve"> | </w:t>
            </w:r>
            <w:hyperlink r:id="rId21">
              <w:r>
                <w:rPr>
                  <w:rFonts w:ascii="Calibri" w:hAnsi="Calibri"/>
                  <w:color w:val="2E74B5"/>
                  <w:u w:val="single"/>
                </w:rPr>
                <w:t>Акция</w:t>
              </w:r>
            </w:hyperlink>
          </w:p>
        </w:tc>
      </w:tr>
      <w:tr>
        <w:tc>
          <w:tcPr>
            <w:tcW w:type="dxa" w:w="145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Каспийск</w:t>
            </w:r>
          </w:p>
        </w:tc>
        <w:tc>
          <w:tcPr>
            <w:tcW w:type="dxa" w:w="299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ИП Абуев Шамиль Арсланбекович</w:t>
            </w:r>
          </w:p>
        </w:tc>
        <w:tc>
          <w:tcPr>
            <w:tcW w:type="dxa" w:w="21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22">
              <w:r>
                <w:rPr>
                  <w:rFonts w:ascii="Calibri" w:hAnsi="Calibri"/>
                  <w:color w:val="2E74B5"/>
                  <w:u w:val="single"/>
                </w:rPr>
                <w:t>Политика</w:t>
              </w:r>
            </w:hyperlink>
          </w:p>
        </w:tc>
        <w:tc>
          <w:tcPr>
            <w:tcW w:type="dxa" w:w="282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23">
              <w:r>
                <w:rPr>
                  <w:rFonts w:ascii="Calibri" w:hAnsi="Calibri"/>
                  <w:color w:val="2E74B5"/>
                  <w:u w:val="single"/>
                </w:rPr>
                <w:t>Правила</w:t>
              </w:r>
            </w:hyperlink>
            <w:r>
              <w:rPr>
                <w:rFonts w:ascii="Calibri" w:hAnsi="Calibri" w:eastAsia="Calibri"/>
                <w:color w:val="5F6368"/>
                <w:sz w:val="17"/>
              </w:rPr>
              <w:t xml:space="preserve"> | </w:t>
            </w:r>
            <w:hyperlink r:id="rId24">
              <w:r>
                <w:rPr>
                  <w:rFonts w:ascii="Calibri" w:hAnsi="Calibri"/>
                  <w:color w:val="2E74B5"/>
                  <w:u w:val="single"/>
                </w:rPr>
                <w:t>Лояльность</w:t>
              </w:r>
            </w:hyperlink>
          </w:p>
        </w:tc>
      </w:tr>
      <w:tr>
        <w:tc>
          <w:tcPr>
            <w:tcW w:type="dxa" w:w="145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Авиапарк</w:t>
            </w:r>
          </w:p>
        </w:tc>
        <w:tc>
          <w:tcPr>
            <w:tcW w:type="dxa" w:w="299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ИП Никеенко Анастасия Сергеевна</w:t>
            </w:r>
          </w:p>
        </w:tc>
        <w:tc>
          <w:tcPr>
            <w:tcW w:type="dxa" w:w="21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25">
              <w:r>
                <w:rPr>
                  <w:rFonts w:ascii="Calibri" w:hAnsi="Calibri"/>
                  <w:color w:val="2E74B5"/>
                  <w:u w:val="single"/>
                </w:rPr>
                <w:t>Политика</w:t>
              </w:r>
            </w:hyperlink>
          </w:p>
        </w:tc>
        <w:tc>
          <w:tcPr>
            <w:tcW w:type="dxa" w:w="282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26">
              <w:r>
                <w:rPr>
                  <w:rFonts w:ascii="Calibri" w:hAnsi="Calibri"/>
                  <w:color w:val="2E74B5"/>
                  <w:u w:val="single"/>
                </w:rPr>
                <w:t>Правила</w:t>
              </w:r>
            </w:hyperlink>
            <w:r>
              <w:rPr>
                <w:rFonts w:ascii="Calibri" w:hAnsi="Calibri" w:eastAsia="Calibri"/>
                <w:color w:val="5F6368"/>
                <w:sz w:val="17"/>
              </w:rPr>
              <w:t xml:space="preserve"> | </w:t>
            </w:r>
            <w:hyperlink r:id="rId27">
              <w:r>
                <w:rPr>
                  <w:rFonts w:ascii="Calibri" w:hAnsi="Calibri"/>
                  <w:color w:val="2E74B5"/>
                  <w:u w:val="single"/>
                </w:rPr>
                <w:t>Лояльность</w:t>
              </w:r>
            </w:hyperlink>
          </w:p>
        </w:tc>
      </w:tr>
      <w:tr>
        <w:tc>
          <w:tcPr>
            <w:tcW w:type="dxa" w:w="145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МЕГА Теплый Стан</w:t>
            </w:r>
          </w:p>
        </w:tc>
        <w:tc>
          <w:tcPr>
            <w:tcW w:type="dxa" w:w="299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ООО «Хеллоу Парк Мега»</w:t>
            </w:r>
          </w:p>
        </w:tc>
        <w:tc>
          <w:tcPr>
            <w:tcW w:type="dxa" w:w="21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28">
              <w:r>
                <w:rPr>
                  <w:rFonts w:ascii="Calibri" w:hAnsi="Calibri"/>
                  <w:color w:val="2E74B5"/>
                  <w:u w:val="single"/>
                </w:rPr>
                <w:t>Политика</w:t>
              </w:r>
            </w:hyperlink>
          </w:p>
        </w:tc>
        <w:tc>
          <w:tcPr>
            <w:tcW w:type="dxa" w:w="282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29">
              <w:r>
                <w:rPr>
                  <w:rFonts w:ascii="Calibri" w:hAnsi="Calibri"/>
                  <w:color w:val="2E74B5"/>
                  <w:u w:val="single"/>
                </w:rPr>
                <w:t>Правила</w:t>
              </w:r>
            </w:hyperlink>
            <w:r>
              <w:rPr>
                <w:rFonts w:ascii="Calibri" w:hAnsi="Calibri" w:eastAsia="Calibri"/>
                <w:color w:val="5F6368"/>
                <w:sz w:val="17"/>
              </w:rPr>
              <w:t xml:space="preserve"> | </w:t>
            </w:r>
            <w:hyperlink r:id="rId30">
              <w:r>
                <w:rPr>
                  <w:rFonts w:ascii="Calibri" w:hAnsi="Calibri"/>
                  <w:color w:val="2E74B5"/>
                  <w:u w:val="single"/>
                </w:rPr>
                <w:t>Лояльность</w:t>
              </w:r>
            </w:hyperlink>
            <w:r>
              <w:rPr>
                <w:rFonts w:ascii="Calibri" w:hAnsi="Calibri" w:eastAsia="Calibri"/>
                <w:color w:val="5F6368"/>
                <w:sz w:val="17"/>
              </w:rPr>
              <w:t xml:space="preserve"> | </w:t>
            </w:r>
            <w:hyperlink r:id="rId31">
              <w:r>
                <w:rPr>
                  <w:rFonts w:ascii="Calibri" w:hAnsi="Calibri"/>
                  <w:color w:val="2E74B5"/>
                  <w:u w:val="single"/>
                </w:rPr>
                <w:t>Акции</w:t>
              </w:r>
            </w:hyperlink>
          </w:p>
        </w:tc>
      </w:tr>
      <w:tr>
        <w:tc>
          <w:tcPr>
            <w:tcW w:type="dxa" w:w="145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Ривьера</w:t>
            </w:r>
          </w:p>
        </w:tc>
        <w:tc>
          <w:tcPr>
            <w:tcW w:type="dxa" w:w="299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ООО «Диджитал Эксхибишенс»</w:t>
            </w:r>
          </w:p>
        </w:tc>
        <w:tc>
          <w:tcPr>
            <w:tcW w:type="dxa" w:w="21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32">
              <w:r>
                <w:rPr>
                  <w:rFonts w:ascii="Calibri" w:hAnsi="Calibri"/>
                  <w:color w:val="2E74B5"/>
                  <w:u w:val="single"/>
                </w:rPr>
                <w:t>Политика</w:t>
              </w:r>
            </w:hyperlink>
          </w:p>
        </w:tc>
        <w:tc>
          <w:tcPr>
            <w:tcW w:type="dxa" w:w="282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33">
              <w:r>
                <w:rPr>
                  <w:rFonts w:ascii="Calibri" w:hAnsi="Calibri"/>
                  <w:color w:val="2E74B5"/>
                  <w:u w:val="single"/>
                </w:rPr>
                <w:t>Правила</w:t>
              </w:r>
            </w:hyperlink>
            <w:r>
              <w:rPr>
                <w:rFonts w:ascii="Calibri" w:hAnsi="Calibri" w:eastAsia="Calibri"/>
                <w:color w:val="5F6368"/>
                <w:sz w:val="17"/>
              </w:rPr>
              <w:t xml:space="preserve"> | </w:t>
            </w:r>
            <w:hyperlink r:id="rId34">
              <w:r>
                <w:rPr>
                  <w:rFonts w:ascii="Calibri" w:hAnsi="Calibri"/>
                  <w:color w:val="2E74B5"/>
                  <w:u w:val="single"/>
                </w:rPr>
                <w:t>Лояльность</w:t>
              </w:r>
            </w:hyperlink>
          </w:p>
        </w:tc>
      </w:tr>
      <w:tr>
        <w:tc>
          <w:tcPr>
            <w:tcW w:type="dxa" w:w="145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Avenue Sever</w:t>
            </w:r>
          </w:p>
        </w:tc>
        <w:tc>
          <w:tcPr>
            <w:tcW w:type="dxa" w:w="299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ООО «Компакленд»</w:t>
            </w:r>
          </w:p>
        </w:tc>
        <w:tc>
          <w:tcPr>
            <w:tcW w:type="dxa" w:w="21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35">
              <w:r>
                <w:rPr>
                  <w:rFonts w:ascii="Calibri" w:hAnsi="Calibri"/>
                  <w:color w:val="2E74B5"/>
                  <w:u w:val="single"/>
                </w:rPr>
                <w:t>Политика</w:t>
              </w:r>
            </w:hyperlink>
          </w:p>
        </w:tc>
        <w:tc>
          <w:tcPr>
            <w:tcW w:type="dxa" w:w="282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36">
              <w:r>
                <w:rPr>
                  <w:rFonts w:ascii="Calibri" w:hAnsi="Calibri"/>
                  <w:color w:val="2E74B5"/>
                  <w:u w:val="single"/>
                </w:rPr>
                <w:t>Правила</w:t>
              </w:r>
            </w:hyperlink>
            <w:r>
              <w:rPr>
                <w:rFonts w:ascii="Calibri" w:hAnsi="Calibri" w:eastAsia="Calibri"/>
                <w:color w:val="5F6368"/>
                <w:sz w:val="17"/>
              </w:rPr>
              <w:t xml:space="preserve"> | </w:t>
            </w:r>
            <w:hyperlink r:id="rId37">
              <w:r>
                <w:rPr>
                  <w:rFonts w:ascii="Calibri" w:hAnsi="Calibri"/>
                  <w:color w:val="2E74B5"/>
                  <w:u w:val="single"/>
                </w:rPr>
                <w:t>Лояльность</w:t>
              </w:r>
            </w:hyperlink>
          </w:p>
        </w:tc>
      </w:tr>
      <w:tr>
        <w:tc>
          <w:tcPr>
            <w:tcW w:type="dxa" w:w="145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Сахалин</w:t>
            </w:r>
          </w:p>
        </w:tc>
        <w:tc>
          <w:tcPr>
            <w:tcW w:type="dxa" w:w="299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ООО «Гейм Мастер»</w:t>
            </w:r>
          </w:p>
        </w:tc>
        <w:tc>
          <w:tcPr>
            <w:tcW w:type="dxa" w:w="21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38">
              <w:r>
                <w:rPr>
                  <w:rFonts w:ascii="Calibri" w:hAnsi="Calibri"/>
                  <w:color w:val="2E74B5"/>
                  <w:u w:val="single"/>
                </w:rPr>
                <w:t>Политика</w:t>
              </w:r>
            </w:hyperlink>
          </w:p>
        </w:tc>
        <w:tc>
          <w:tcPr>
            <w:tcW w:type="dxa" w:w="282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39">
              <w:r>
                <w:rPr>
                  <w:rFonts w:ascii="Calibri" w:hAnsi="Calibri"/>
                  <w:color w:val="2E74B5"/>
                  <w:u w:val="single"/>
                </w:rPr>
                <w:t>Правила</w:t>
              </w:r>
            </w:hyperlink>
            <w:r>
              <w:rPr>
                <w:rFonts w:ascii="Calibri" w:hAnsi="Calibri" w:eastAsia="Calibri"/>
                <w:color w:val="5F6368"/>
                <w:sz w:val="17"/>
              </w:rPr>
              <w:t xml:space="preserve"> | </w:t>
            </w:r>
            <w:hyperlink r:id="rId40">
              <w:r>
                <w:rPr>
                  <w:rFonts w:ascii="Calibri" w:hAnsi="Calibri"/>
                  <w:color w:val="2E74B5"/>
                  <w:u w:val="single"/>
                </w:rPr>
                <w:t>Лояльность</w:t>
              </w:r>
            </w:hyperlink>
          </w:p>
        </w:tc>
      </w:tr>
      <w:tr>
        <w:tc>
          <w:tcPr>
            <w:tcW w:type="dxa" w:w="145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МореМолл, Сочи</w:t>
            </w:r>
          </w:p>
        </w:tc>
        <w:tc>
          <w:tcPr>
            <w:tcW w:type="dxa" w:w="299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ИП Бутаев О. А.</w:t>
            </w:r>
          </w:p>
        </w:tc>
        <w:tc>
          <w:tcPr>
            <w:tcW w:type="dxa" w:w="21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41">
              <w:r>
                <w:rPr>
                  <w:rFonts w:ascii="Calibri" w:hAnsi="Calibri"/>
                  <w:color w:val="2E74B5"/>
                  <w:u w:val="single"/>
                </w:rPr>
                <w:t>Политика</w:t>
              </w:r>
            </w:hyperlink>
          </w:p>
        </w:tc>
        <w:tc>
          <w:tcPr>
            <w:tcW w:type="dxa" w:w="282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42">
              <w:r>
                <w:rPr>
                  <w:rFonts w:ascii="Calibri" w:hAnsi="Calibri"/>
                  <w:color w:val="2E74B5"/>
                  <w:u w:val="single"/>
                </w:rPr>
                <w:t>Правила</w:t>
              </w:r>
            </w:hyperlink>
            <w:r>
              <w:rPr>
                <w:rFonts w:ascii="Calibri" w:hAnsi="Calibri" w:eastAsia="Calibri"/>
                <w:color w:val="5F6368"/>
                <w:sz w:val="17"/>
              </w:rPr>
              <w:t xml:space="preserve"> | </w:t>
            </w:r>
            <w:hyperlink r:id="rId43">
              <w:r>
                <w:rPr>
                  <w:rFonts w:ascii="Calibri" w:hAnsi="Calibri"/>
                  <w:color w:val="2E74B5"/>
                  <w:u w:val="single"/>
                </w:rPr>
                <w:t>Лояльность</w:t>
              </w:r>
            </w:hyperlink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2" w:space="0" w:color="E8EEF5"/>
              <w:left w:val="single" w:sz="2" w:space="0" w:color="E8EEF5"/>
              <w:bottom w:val="single" w:sz="2" w:space="0" w:color="E8EEF5"/>
              <w:right w:val="single" w:sz="2" w:space="0" w:color="E8EEF5"/>
              <w:insideH w:val="single" w:sz="2" w:space="0" w:color="E8EEF5"/>
              <w:insideV w:val="single" w:sz="2" w:space="0" w:color="E8EEF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4D78"/>
              </w:rPr>
              <w:t xml:space="preserve">Примечание. </w:t>
            </w:r>
            <w:r>
              <w:rPr>
                <w:rFonts w:ascii="Calibri" w:hAnsi="Calibri" w:eastAsia="Calibri"/>
                <w:color w:val="202124"/>
              </w:rPr>
              <w:t>В таблице даны отдельные прямые ссылки на опубликованные правила, лояльность и акции. Перед отправкой пакета следует повторно сверить его с hello-park.ru/r, поскольку набор и адреса документов могут измениться.</w:t>
            </w:r>
          </w:p>
        </w:tc>
      </w:tr>
    </w:tbl>
    <w:p>
      <w:pPr>
        <w:spacing w:after="40"/>
      </w:pPr>
    </w:p>
    <w:p>
      <w:pPr>
        <w:pStyle w:val="Heading1"/>
      </w:pPr>
      <w:r>
        <w:t>11. Иностранные парки</w:t>
      </w:r>
    </w:p>
    <w:p>
      <w:r>
        <w:t>На странице hello-park.ru/r также перечислены парки в Азербайджане, Казахстане, Таджикистане, Узбекистане, Бразилии, Колумбии, Литве и Омане. Для них нельзя механически применять российский пакет. Юрист должен определить местное юрлицо, применимое право, требования к данным детей, регистрации оператора, локализации, международной передаче, cookies и маркетинговым коммуникациям; при необходимости привлечь местного консультанта.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260"/>
        <w:gridCol w:w="2300"/>
        <w:gridCol w:w="2700"/>
      </w:tblGrid>
      <w:tr>
        <w:trPr>
          <w:tblHeader w:val="true"/>
        </w:trPr>
        <w:tc>
          <w:tcPr>
            <w:tcW w:type="dxa" w:w="2100"/>
            <w:shd w:fill="E8EEF5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Парк</w:t>
            </w:r>
          </w:p>
        </w:tc>
        <w:tc>
          <w:tcPr>
            <w:tcW w:type="dxa" w:w="2260"/>
            <w:shd w:fill="E8EEF5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Страна / режим</w:t>
            </w:r>
          </w:p>
        </w:tc>
        <w:tc>
          <w:tcPr>
            <w:tcW w:type="dxa" w:w="2300"/>
            <w:shd w:fill="E8EEF5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Политика</w:t>
            </w:r>
          </w:p>
        </w:tc>
        <w:tc>
          <w:tcPr>
            <w:tcW w:type="dxa" w:w="2700"/>
            <w:shd w:fill="E8EEF5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Правила</w:t>
            </w:r>
          </w:p>
        </w:tc>
      </w:tr>
      <w:tr>
        <w:tc>
          <w:tcPr>
            <w:tcW w:type="dxa" w:w="21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Баку</w:t>
            </w:r>
          </w:p>
        </w:tc>
        <w:tc>
          <w:tcPr>
            <w:tcW w:type="dxa" w:w="22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Азербайджан</w:t>
            </w:r>
          </w:p>
        </w:tc>
        <w:tc>
          <w:tcPr>
            <w:tcW w:type="dxa" w:w="23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hyperlink r:id="rId44">
              <w:r>
                <w:rPr>
                  <w:rFonts w:ascii="Calibri" w:hAnsi="Calibri"/>
                  <w:color w:val="2E74B5"/>
                  <w:u w:val="single"/>
                </w:rPr>
                <w:t>Политика</w:t>
              </w:r>
            </w:hyperlink>
          </w:p>
        </w:tc>
        <w:tc>
          <w:tcPr>
            <w:tcW w:type="dxa" w:w="27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hyperlink r:id="rId45">
              <w:r>
                <w:rPr>
                  <w:rFonts w:ascii="Calibri" w:hAnsi="Calibri"/>
                  <w:color w:val="2E74B5"/>
                  <w:u w:val="single"/>
                </w:rPr>
                <w:t>Правила</w:t>
              </w:r>
            </w:hyperlink>
          </w:p>
        </w:tc>
      </w:tr>
      <w:tr>
        <w:tc>
          <w:tcPr>
            <w:tcW w:type="dxa" w:w="21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Атырау</w:t>
            </w:r>
          </w:p>
        </w:tc>
        <w:tc>
          <w:tcPr>
            <w:tcW w:type="dxa" w:w="22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Казахстан</w:t>
            </w:r>
          </w:p>
        </w:tc>
        <w:tc>
          <w:tcPr>
            <w:tcW w:type="dxa" w:w="23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hyperlink r:id="rId46">
              <w:r>
                <w:rPr>
                  <w:rFonts w:ascii="Calibri" w:hAnsi="Calibri"/>
                  <w:color w:val="2E74B5"/>
                  <w:u w:val="single"/>
                </w:rPr>
                <w:t>Политика</w:t>
              </w:r>
            </w:hyperlink>
          </w:p>
        </w:tc>
        <w:tc>
          <w:tcPr>
            <w:tcW w:type="dxa" w:w="27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hyperlink r:id="rId47">
              <w:r>
                <w:rPr>
                  <w:rFonts w:ascii="Calibri" w:hAnsi="Calibri"/>
                  <w:color w:val="2E74B5"/>
                  <w:u w:val="single"/>
                </w:rPr>
                <w:t>Правила</w:t>
              </w:r>
            </w:hyperlink>
          </w:p>
        </w:tc>
      </w:tr>
      <w:tr>
        <w:tc>
          <w:tcPr>
            <w:tcW w:type="dxa" w:w="21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Душанбе</w:t>
            </w:r>
          </w:p>
        </w:tc>
        <w:tc>
          <w:tcPr>
            <w:tcW w:type="dxa" w:w="22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Таджикистан</w:t>
            </w:r>
          </w:p>
        </w:tc>
        <w:tc>
          <w:tcPr>
            <w:tcW w:type="dxa" w:w="23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hyperlink r:id="rId48">
              <w:r>
                <w:rPr>
                  <w:rFonts w:ascii="Calibri" w:hAnsi="Calibri"/>
                  <w:color w:val="2E74B5"/>
                  <w:u w:val="single"/>
                </w:rPr>
                <w:t>Политика</w:t>
              </w:r>
            </w:hyperlink>
          </w:p>
        </w:tc>
        <w:tc>
          <w:tcPr>
            <w:tcW w:type="dxa" w:w="27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hyperlink r:id="rId49">
              <w:r>
                <w:rPr>
                  <w:rFonts w:ascii="Calibri" w:hAnsi="Calibri"/>
                  <w:color w:val="2E74B5"/>
                  <w:u w:val="single"/>
                </w:rPr>
                <w:t>Правила</w:t>
              </w:r>
            </w:hyperlink>
          </w:p>
        </w:tc>
      </w:tr>
      <w:tr>
        <w:tc>
          <w:tcPr>
            <w:tcW w:type="dxa" w:w="21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Ташкент</w:t>
            </w:r>
          </w:p>
        </w:tc>
        <w:tc>
          <w:tcPr>
            <w:tcW w:type="dxa" w:w="22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Узбекистан</w:t>
            </w:r>
          </w:p>
        </w:tc>
        <w:tc>
          <w:tcPr>
            <w:tcW w:type="dxa" w:w="23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hyperlink r:id="rId50">
              <w:r>
                <w:rPr>
                  <w:rFonts w:ascii="Calibri" w:hAnsi="Calibri"/>
                  <w:color w:val="2E74B5"/>
                  <w:u w:val="single"/>
                </w:rPr>
                <w:t>Политика</w:t>
              </w:r>
            </w:hyperlink>
          </w:p>
        </w:tc>
        <w:tc>
          <w:tcPr>
            <w:tcW w:type="dxa" w:w="27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hyperlink r:id="rId51">
              <w:r>
                <w:rPr>
                  <w:rFonts w:ascii="Calibri" w:hAnsi="Calibri"/>
                  <w:color w:val="2E74B5"/>
                  <w:u w:val="single"/>
                </w:rPr>
                <w:t>Правила</w:t>
              </w:r>
            </w:hyperlink>
          </w:p>
        </w:tc>
      </w:tr>
      <w:tr>
        <w:tc>
          <w:tcPr>
            <w:tcW w:type="dxa" w:w="21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São Paulo</w:t>
            </w:r>
          </w:p>
        </w:tc>
        <w:tc>
          <w:tcPr>
            <w:tcW w:type="dxa" w:w="22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Бразилия</w:t>
            </w:r>
          </w:p>
        </w:tc>
        <w:tc>
          <w:tcPr>
            <w:tcW w:type="dxa" w:w="23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hyperlink r:id="rId52">
              <w:r>
                <w:rPr>
                  <w:rFonts w:ascii="Calibri" w:hAnsi="Calibri"/>
                  <w:color w:val="2E74B5"/>
                  <w:u w:val="single"/>
                </w:rPr>
                <w:t>Политика</w:t>
              </w:r>
            </w:hyperlink>
          </w:p>
        </w:tc>
        <w:tc>
          <w:tcPr>
            <w:tcW w:type="dxa" w:w="27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hyperlink r:id="rId53">
              <w:r>
                <w:rPr>
                  <w:rFonts w:ascii="Calibri" w:hAnsi="Calibri"/>
                  <w:color w:val="2E74B5"/>
                  <w:u w:val="single"/>
                </w:rPr>
                <w:t>Правила</w:t>
              </w:r>
            </w:hyperlink>
          </w:p>
        </w:tc>
      </w:tr>
      <w:tr>
        <w:tc>
          <w:tcPr>
            <w:tcW w:type="dxa" w:w="21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Plaza Central, Bogotá</w:t>
            </w:r>
          </w:p>
        </w:tc>
        <w:tc>
          <w:tcPr>
            <w:tcW w:type="dxa" w:w="22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Колумбия</w:t>
            </w:r>
          </w:p>
        </w:tc>
        <w:tc>
          <w:tcPr>
            <w:tcW w:type="dxa" w:w="23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hyperlink r:id="rId54">
              <w:r>
                <w:rPr>
                  <w:rFonts w:ascii="Calibri" w:hAnsi="Calibri"/>
                  <w:color w:val="2E74B5"/>
                  <w:u w:val="single"/>
                </w:rPr>
                <w:t>Политика</w:t>
              </w:r>
            </w:hyperlink>
          </w:p>
        </w:tc>
        <w:tc>
          <w:tcPr>
            <w:tcW w:type="dxa" w:w="27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hyperlink r:id="rId55">
              <w:r>
                <w:rPr>
                  <w:rFonts w:ascii="Calibri" w:hAnsi="Calibri"/>
                  <w:color w:val="2E74B5"/>
                  <w:u w:val="single"/>
                </w:rPr>
                <w:t>Правила</w:t>
              </w:r>
            </w:hyperlink>
          </w:p>
        </w:tc>
      </w:tr>
      <w:tr>
        <w:tc>
          <w:tcPr>
            <w:tcW w:type="dxa" w:w="21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Kaunas</w:t>
            </w:r>
          </w:p>
        </w:tc>
        <w:tc>
          <w:tcPr>
            <w:tcW w:type="dxa" w:w="22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Литва / ЕС</w:t>
            </w:r>
          </w:p>
        </w:tc>
        <w:tc>
          <w:tcPr>
            <w:tcW w:type="dxa" w:w="23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hyperlink r:id="rId56">
              <w:r>
                <w:rPr>
                  <w:rFonts w:ascii="Calibri" w:hAnsi="Calibri"/>
                  <w:color w:val="2E74B5"/>
                  <w:u w:val="single"/>
                </w:rPr>
                <w:t>Политика</w:t>
              </w:r>
            </w:hyperlink>
          </w:p>
        </w:tc>
        <w:tc>
          <w:tcPr>
            <w:tcW w:type="dxa" w:w="27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hyperlink r:id="rId57">
              <w:r>
                <w:rPr>
                  <w:rFonts w:ascii="Calibri" w:hAnsi="Calibri"/>
                  <w:color w:val="2E74B5"/>
                  <w:u w:val="single"/>
                </w:rPr>
                <w:t>Правила</w:t>
              </w:r>
            </w:hyperlink>
          </w:p>
        </w:tc>
      </w:tr>
      <w:tr>
        <w:tc>
          <w:tcPr>
            <w:tcW w:type="dxa" w:w="21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Muscat</w:t>
            </w:r>
          </w:p>
        </w:tc>
        <w:tc>
          <w:tcPr>
            <w:tcW w:type="dxa" w:w="22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Оман</w:t>
            </w:r>
          </w:p>
        </w:tc>
        <w:tc>
          <w:tcPr>
            <w:tcW w:type="dxa" w:w="23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hyperlink r:id="rId58">
              <w:r>
                <w:rPr>
                  <w:rFonts w:ascii="Calibri" w:hAnsi="Calibri"/>
                  <w:color w:val="2E74B5"/>
                  <w:u w:val="single"/>
                </w:rPr>
                <w:t>Политика</w:t>
              </w:r>
            </w:hyperlink>
          </w:p>
        </w:tc>
        <w:tc>
          <w:tcPr>
            <w:tcW w:type="dxa" w:w="27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hyperlink r:id="rId59">
              <w:r>
                <w:rPr>
                  <w:rFonts w:ascii="Calibri" w:hAnsi="Calibri"/>
                  <w:color w:val="2E74B5"/>
                  <w:u w:val="single"/>
                </w:rPr>
                <w:t>Правила</w:t>
              </w:r>
            </w:hyperlink>
          </w:p>
        </w:tc>
      </w:tr>
    </w:tbl>
    <w:p>
      <w:pPr>
        <w:spacing w:after="20"/>
      </w:pPr>
    </w:p>
    <w:p>
      <w:r>
        <w:t xml:space="preserve">Дополнительный документ Bogotá: </w:t>
      </w:r>
      <w:hyperlink r:id="rId60">
        <w:r>
          <w:rPr>
            <w:rFonts w:ascii="Calibri" w:hAnsi="Calibri"/>
            <w:color w:val="2E74B5"/>
            <w:u w:val="single"/>
          </w:rPr>
          <w:t>условия мероприятий и праздников</w:t>
        </w:r>
      </w:hyperlink>
    </w:p>
    <w:p>
      <w:pPr>
        <w:pStyle w:val="Heading1"/>
      </w:pPr>
      <w:r>
        <w:t>12. Нормативные ориентиры для проверки юристом</w:t>
      </w:r>
    </w:p>
    <w:p>
      <w:r>
        <w:t>Список не заменяет юридическое заключение и должен быть перепроверен на дату запуска. Он дан, чтобы не потерять ключевые блоки при подготовке документов.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4660"/>
        <w:gridCol w:w="1900"/>
      </w:tblGrid>
      <w:tr>
        <w:trPr>
          <w:tblHeader w:val="true"/>
        </w:trPr>
        <w:tc>
          <w:tcPr>
            <w:tcW w:type="dxa" w:w="2800"/>
            <w:shd w:fill="E8EEF5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Источник</w:t>
            </w:r>
          </w:p>
        </w:tc>
        <w:tc>
          <w:tcPr>
            <w:tcW w:type="dxa" w:w="4660"/>
            <w:shd w:fill="E8EEF5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Что проверить</w:t>
            </w:r>
          </w:p>
        </w:tc>
        <w:tc>
          <w:tcPr>
            <w:tcW w:type="dxa" w:w="1900"/>
            <w:shd w:fill="E8EEF5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Ссылка</w:t>
            </w:r>
          </w:p>
        </w:tc>
      </w:tr>
      <w:tr>
        <w:tc>
          <w:tcPr>
            <w:tcW w:type="dxa" w:w="28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Федеральный закон № 152-ФЗ «О персональных данных»</w:t>
            </w:r>
          </w:p>
        </w:tc>
        <w:tc>
          <w:tcPr>
            <w:tcW w:type="dxa" w:w="46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Определение оператора; принципы и основания обработки; поручение обработки; согласие; распространение; трансграничная передача; локализация; организационные и технические меры; инциденты; уведомление оператора</w:t>
            </w:r>
          </w:p>
        </w:tc>
        <w:tc>
          <w:tcPr>
            <w:tcW w:type="dxa" w:w="19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61">
              <w:r>
                <w:rPr>
                  <w:rFonts w:ascii="Calibri" w:hAnsi="Calibri"/>
                  <w:color w:val="2E74B5"/>
                  <w:u w:val="single"/>
                </w:rPr>
                <w:t>Открыть</w:t>
              </w:r>
            </w:hyperlink>
          </w:p>
        </w:tc>
      </w:tr>
      <w:tr>
        <w:tc>
          <w:tcPr>
            <w:tcW w:type="dxa" w:w="28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Приказ Роскомнадзора от 28.10.2022 № 180</w:t>
            </w:r>
          </w:p>
        </w:tc>
        <w:tc>
          <w:tcPr>
            <w:tcW w:type="dxa" w:w="46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Формы уведомлений об обработке, изменении сведений и прекращении обработки</w:t>
            </w:r>
          </w:p>
        </w:tc>
        <w:tc>
          <w:tcPr>
            <w:tcW w:type="dxa" w:w="19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12">
              <w:r>
                <w:rPr>
                  <w:rFonts w:ascii="Calibri" w:hAnsi="Calibri"/>
                  <w:color w:val="2E74B5"/>
                  <w:u w:val="single"/>
                </w:rPr>
                <w:t>Открыть</w:t>
              </w:r>
            </w:hyperlink>
          </w:p>
        </w:tc>
      </w:tr>
      <w:tr>
        <w:tc>
          <w:tcPr>
            <w:tcW w:type="dxa" w:w="28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Федеральный закон № 38-ФЗ «О рекламе», статья 18</w:t>
            </w:r>
          </w:p>
        </w:tc>
        <w:tc>
          <w:tcPr>
            <w:tcW w:type="dxa" w:w="46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Предварительное согласие на рекламу по сетям электросвязи</w:t>
            </w:r>
          </w:p>
        </w:tc>
        <w:tc>
          <w:tcPr>
            <w:tcW w:type="dxa" w:w="19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62">
              <w:r>
                <w:rPr>
                  <w:rFonts w:ascii="Calibri" w:hAnsi="Calibri"/>
                  <w:color w:val="2E74B5"/>
                  <w:u w:val="single"/>
                </w:rPr>
                <w:t>Открыть</w:t>
              </w:r>
            </w:hyperlink>
          </w:p>
        </w:tc>
      </w:tr>
      <w:tr>
        <w:tc>
          <w:tcPr>
            <w:tcW w:type="dxa" w:w="28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Страница документов Hello Park</w:t>
            </w:r>
          </w:p>
        </w:tc>
        <w:tc>
          <w:tcPr>
            <w:tcW w:type="dxa" w:w="466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Текущие политики, правила посещения, лояльность и акции по паркам</w:t>
            </w:r>
          </w:p>
        </w:tc>
        <w:tc>
          <w:tcPr>
            <w:tcW w:type="dxa" w:w="1900"/>
            <w:tcBorders>
              <w:top w:val="single" w:sz="4" w:space="0" w:color="C7CDD4"/>
              <w:left w:val="single" w:sz="4" w:space="0" w:color="C7CDD4"/>
              <w:bottom w:val="single" w:sz="4" w:space="0" w:color="C7CDD4"/>
              <w:right w:val="single" w:sz="4" w:space="0" w:color="C7CDD4"/>
              <w:insideH w:val="single" w:sz="4" w:space="0" w:color="C7CDD4"/>
              <w:insideV w:val="single" w:sz="4" w:space="0" w:color="C7CD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11">
              <w:r>
                <w:rPr>
                  <w:rFonts w:ascii="Calibri" w:hAnsi="Calibri"/>
                  <w:color w:val="2E74B5"/>
                  <w:u w:val="single"/>
                </w:rPr>
                <w:t>Открыть</w:t>
              </w:r>
            </w:hyperlink>
          </w:p>
        </w:tc>
      </w:tr>
    </w:tbl>
    <w:p>
      <w:r>
        <w:br w:type="page"/>
      </w:r>
    </w:p>
    <w:p>
      <w:pPr>
        <w:pStyle w:val="Heading1"/>
      </w:pPr>
      <w:r>
        <w:t>13. Формат финального ответа юриста</w:t>
      </w:r>
    </w:p>
    <w:p>
      <w:r>
        <w:t>Просим не ограничиваться комментариями к текстам. Финальный ответ должен содержать готовые документы, таблицу по каждому парку и однозначные инструкции продуктовой команде. Для каждого вопроса использовать статус: «готово», «нужно действие», «блокирует запуск» или «не применимо», с ответственным и сроком.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2" w:space="0" w:color="E8EEF5"/>
              <w:left w:val="single" w:sz="2" w:space="0" w:color="E8EEF5"/>
              <w:bottom w:val="single" w:sz="2" w:space="0" w:color="E8EEF5"/>
              <w:right w:val="single" w:sz="2" w:space="0" w:color="E8EEF5"/>
              <w:insideH w:val="single" w:sz="2" w:space="0" w:color="E8EEF5"/>
              <w:insideV w:val="single" w:sz="2" w:space="0" w:color="E8EEF5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F4D78"/>
              </w:rPr>
              <w:t xml:space="preserve">Финальный критерий. </w:t>
            </w:r>
            <w:r>
              <w:rPr>
                <w:rFonts w:ascii="Calibri" w:hAnsi="Calibri" w:eastAsia="Calibri"/>
                <w:color w:val="202124"/>
              </w:rPr>
              <w:t>Парк допускается к RFID-запуску только после закрытия обязательных юридических, договорных, регуляторных и продуктовых пунктов для его юрлица и юрисдикции.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F6368"/>
        <w:sz w:val="18"/>
      </w:rPr>
      <w:t xml:space="preserve">Стр. </w:t>
    </w:r>
    <w:r>
      <w:rPr>
        <w:rFonts w:ascii="Calibri" w:hAnsi="Calibri" w:eastAsia="Calibri"/>
        <w:color w:val="5F6368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Calibri"/>
        <w:b/>
        <w:color w:val="5F6368"/>
        <w:sz w:val="17"/>
      </w:rPr>
      <w:t>HELLO PARK  |  ПРАВОВАЯ ПОДГОТОВКА RFID-ПАНЕЛИ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80" w:after="160" w:line="264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20" w:after="120" w:line="264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ello-park.ru/r" TargetMode="External"/><Relationship Id="rId12" Type="http://schemas.openxmlformats.org/officeDocument/2006/relationships/hyperlink" Target="https://publication.pravo.gov.ru/Document/View/0001202212150022" TargetMode="External"/><Relationship Id="rId13" Type="http://schemas.openxmlformats.org/officeDocument/2006/relationships/hyperlink" Target="https://hello-park.ru/blg/privacy" TargetMode="External"/><Relationship Id="rId14" Type="http://schemas.openxmlformats.org/officeDocument/2006/relationships/hyperlink" Target="https://hello-park.ru/blg/visiting" TargetMode="External"/><Relationship Id="rId15" Type="http://schemas.openxmlformats.org/officeDocument/2006/relationships/hyperlink" Target="https://hello-park.ru/vladikavkaz/privacy" TargetMode="External"/><Relationship Id="rId16" Type="http://schemas.openxmlformats.org/officeDocument/2006/relationships/hyperlink" Target="https://hello-park.ru/vladikavkaz/visiting" TargetMode="External"/><Relationship Id="rId17" Type="http://schemas.openxmlformats.org/officeDocument/2006/relationships/hyperlink" Target="https://hello-park.ru/vladikavkaz/loyalty-rules" TargetMode="External"/><Relationship Id="rId18" Type="http://schemas.openxmlformats.org/officeDocument/2006/relationships/hyperlink" Target="https://hello-park.ru/voronezh/privacy" TargetMode="External"/><Relationship Id="rId19" Type="http://schemas.openxmlformats.org/officeDocument/2006/relationships/hyperlink" Target="https://hello-park.ru/voronezh/pravila-poseshcheniya" TargetMode="External"/><Relationship Id="rId20" Type="http://schemas.openxmlformats.org/officeDocument/2006/relationships/hyperlink" Target="https://hello-park.ru/voronezh/loyalty-rules" TargetMode="External"/><Relationship Id="rId21" Type="http://schemas.openxmlformats.org/officeDocument/2006/relationships/hyperlink" Target="https://hello-park.ru/voronezh/usloviya-akcii-skidka-10-na-pokupku-biletov-onlayn" TargetMode="External"/><Relationship Id="rId22" Type="http://schemas.openxmlformats.org/officeDocument/2006/relationships/hyperlink" Target="https://hello-park.ru/kaspiysk/privacy" TargetMode="External"/><Relationship Id="rId23" Type="http://schemas.openxmlformats.org/officeDocument/2006/relationships/hyperlink" Target="https://hello-park.ru/kaspiysk/visiting" TargetMode="External"/><Relationship Id="rId24" Type="http://schemas.openxmlformats.org/officeDocument/2006/relationships/hyperlink" Target="https://hello-park.ru/kaspiysk/loyalty-rules" TargetMode="External"/><Relationship Id="rId25" Type="http://schemas.openxmlformats.org/officeDocument/2006/relationships/hyperlink" Target="https://hello-park.ru/aviapark/privacy" TargetMode="External"/><Relationship Id="rId26" Type="http://schemas.openxmlformats.org/officeDocument/2006/relationships/hyperlink" Target="https://hello-park.ru/aviapark/visiting" TargetMode="External"/><Relationship Id="rId27" Type="http://schemas.openxmlformats.org/officeDocument/2006/relationships/hyperlink" Target="https://hello-park.ru/aviapark/loyalty-rules" TargetMode="External"/><Relationship Id="rId28" Type="http://schemas.openxmlformats.org/officeDocument/2006/relationships/hyperlink" Target="https://hello-park.ru/mega-ts/privacy" TargetMode="External"/><Relationship Id="rId29" Type="http://schemas.openxmlformats.org/officeDocument/2006/relationships/hyperlink" Target="https://hello-park.ru/mega-ts/visiting" TargetMode="External"/><Relationship Id="rId30" Type="http://schemas.openxmlformats.org/officeDocument/2006/relationships/hyperlink" Target="https://hello-park.ru/mega-ts/loyalty-rules" TargetMode="External"/><Relationship Id="rId31" Type="http://schemas.openxmlformats.org/officeDocument/2006/relationships/hyperlink" Target="https://hello-park.ru/mega-ts/bonus" TargetMode="External"/><Relationship Id="rId32" Type="http://schemas.openxmlformats.org/officeDocument/2006/relationships/hyperlink" Target="https://hello-park.ru/riviera/privacy" TargetMode="External"/><Relationship Id="rId33" Type="http://schemas.openxmlformats.org/officeDocument/2006/relationships/hyperlink" Target="https://hello-park.ru/riviera/visiting" TargetMode="External"/><Relationship Id="rId34" Type="http://schemas.openxmlformats.org/officeDocument/2006/relationships/hyperlink" Target="https://hello-park.ru/riviera/loyalty-rules" TargetMode="External"/><Relationship Id="rId35" Type="http://schemas.openxmlformats.org/officeDocument/2006/relationships/hyperlink" Target="https://hello-park.ru/seligerskaya/policy" TargetMode="External"/><Relationship Id="rId36" Type="http://schemas.openxmlformats.org/officeDocument/2006/relationships/hyperlink" Target="https://hello-park.ru/seligerskaya/visiting" TargetMode="External"/><Relationship Id="rId37" Type="http://schemas.openxmlformats.org/officeDocument/2006/relationships/hyperlink" Target="https://hello-park.ru/seligerskaya/loyalty-rules" TargetMode="External"/><Relationship Id="rId38" Type="http://schemas.openxmlformats.org/officeDocument/2006/relationships/hyperlink" Target="https://hello-park.ru/sakhalin/privacy" TargetMode="External"/><Relationship Id="rId39" Type="http://schemas.openxmlformats.org/officeDocument/2006/relationships/hyperlink" Target="https://hello-park.ru/sakhalin/visiting" TargetMode="External"/><Relationship Id="rId40" Type="http://schemas.openxmlformats.org/officeDocument/2006/relationships/hyperlink" Target="https://hello-park.ru/sakhalin/loyalty-rules" TargetMode="External"/><Relationship Id="rId41" Type="http://schemas.openxmlformats.org/officeDocument/2006/relationships/hyperlink" Target="https://hello-park.ru/sochi/privacy" TargetMode="External"/><Relationship Id="rId42" Type="http://schemas.openxmlformats.org/officeDocument/2006/relationships/hyperlink" Target="https://hello-park.ru/sochi/visiting" TargetMode="External"/><Relationship Id="rId43" Type="http://schemas.openxmlformats.org/officeDocument/2006/relationships/hyperlink" Target="https://hello-park.ru/sochi/loyalty" TargetMode="External"/><Relationship Id="rId44" Type="http://schemas.openxmlformats.org/officeDocument/2006/relationships/hyperlink" Target="https://hello-park.ru/baku/privacy" TargetMode="External"/><Relationship Id="rId45" Type="http://schemas.openxmlformats.org/officeDocument/2006/relationships/hyperlink" Target="https://hello-park.ru/baku/visiting" TargetMode="External"/><Relationship Id="rId46" Type="http://schemas.openxmlformats.org/officeDocument/2006/relationships/hyperlink" Target="https://hello-park.ru/atyrau/privacy" TargetMode="External"/><Relationship Id="rId47" Type="http://schemas.openxmlformats.org/officeDocument/2006/relationships/hyperlink" Target="https://hello-park.ru/atyrau/visiting" TargetMode="External"/><Relationship Id="rId48" Type="http://schemas.openxmlformats.org/officeDocument/2006/relationships/hyperlink" Target="https://hello-park.ru/dushanbe/privacy" TargetMode="External"/><Relationship Id="rId49" Type="http://schemas.openxmlformats.org/officeDocument/2006/relationships/hyperlink" Target="https://hello-park.ru/dushanbe/visiting" TargetMode="External"/><Relationship Id="rId50" Type="http://schemas.openxmlformats.org/officeDocument/2006/relationships/hyperlink" Target="https://hello-park.ru/tashkent/privacy" TargetMode="External"/><Relationship Id="rId51" Type="http://schemas.openxmlformats.org/officeDocument/2006/relationships/hyperlink" Target="https://hello-park.ru/tashkent/visiting" TargetMode="External"/><Relationship Id="rId52" Type="http://schemas.openxmlformats.org/officeDocument/2006/relationships/hyperlink" Target="https://hello-park.com/saopaulo/privacy-policy" TargetMode="External"/><Relationship Id="rId53" Type="http://schemas.openxmlformats.org/officeDocument/2006/relationships/hyperlink" Target="https://hello-park.com/saopaulo/visiting" TargetMode="External"/><Relationship Id="rId54" Type="http://schemas.openxmlformats.org/officeDocument/2006/relationships/hyperlink" Target="https://hello-park.com/bogota/privacy-policy" TargetMode="External"/><Relationship Id="rId55" Type="http://schemas.openxmlformats.org/officeDocument/2006/relationships/hyperlink" Target="https://hello-park.com/bogota/visiting" TargetMode="External"/><Relationship Id="rId56" Type="http://schemas.openxmlformats.org/officeDocument/2006/relationships/hyperlink" Target="https://hello-park.com/kaunas/privacy-policy" TargetMode="External"/><Relationship Id="rId57" Type="http://schemas.openxmlformats.org/officeDocument/2006/relationships/hyperlink" Target="https://hello-park.com/kaunas/visiting" TargetMode="External"/><Relationship Id="rId58" Type="http://schemas.openxmlformats.org/officeDocument/2006/relationships/hyperlink" Target="https://hello-park.com/oman/privacy" TargetMode="External"/><Relationship Id="rId59" Type="http://schemas.openxmlformats.org/officeDocument/2006/relationships/hyperlink" Target="https://hello-park.com/oman/visiting" TargetMode="External"/><Relationship Id="rId60" Type="http://schemas.openxmlformats.org/officeDocument/2006/relationships/hyperlink" Target="https://hello-park.com/bogota/politicas-y-condiciones-para-eventos-y-fiestas" TargetMode="External"/><Relationship Id="rId61" Type="http://schemas.openxmlformats.org/officeDocument/2006/relationships/hyperlink" Target="https://ips.pravo.gov.ru/api/ips/legislation/document?baseid=None&amp;hash=98490812b3409e2a8d78a11ca9010f434ea3d9250a11dbbdb78690cd5551bdd6" TargetMode="External"/><Relationship Id="rId62" Type="http://schemas.openxmlformats.org/officeDocument/2006/relationships/hyperlink" Target="https://www.consultant.ru/document/cons_doc_LAW_58968/f892dec1383709792452f18d36e7043306e2be0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юристу — правовая подготовка внедрения RFID-панели Hello Park</dc:title>
  <dc:subject>Персональные данные, RFID, дети, программа лояльности, документы парков</dc:subject>
  <dc:creator>Hello Park</dc:creator>
  <cp:keywords>RFID, персональные данные, Hello Park, юрист, оператор</cp:keywords>
  <dc:description>Черновик для юридической проверки. Не является юридическим заключением.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