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ТЕХНІЧНЕ ЗАВДАННЯ v3.0</w:t>
      </w:r>
    </w:p>
    <w:p>
      <w:pPr>
        <w:spacing w:after="200"/>
        <w:jc w:val="center"/>
      </w:pPr>
      <w:r>
        <w:rPr>
          <w:color w:val="2471A3"/>
          <w:sz w:val="32"/>
          <w:szCs w:val="32"/>
        </w:rPr>
        <w:t xml:space="preserve">Платформа-операційна система</w:t>
      </w:r>
    </w:p>
    <w:p>
      <w:pPr>
        <w:spacing w:after="100"/>
        <w:jc w:val="center"/>
      </w:pPr>
      <w:r>
        <w:rPr>
          <w:color w:val="2471A3"/>
          <w:sz w:val="32"/>
          <w:szCs w:val="32"/>
        </w:rPr>
        <w:t xml:space="preserve">для онлайн-практики спеціалістів допоміжних професій</w:t>
      </w:r>
    </w:p>
    <w:p>
      <w:pPr>
        <w:spacing w:before="600"/>
        <w:jc w:val="center"/>
      </w:pPr>
      <w:r>
        <w:rPr>
          <w:color w:val="666666"/>
          <w:sz w:val="22"/>
          <w:szCs w:val="22"/>
        </w:rPr>
        <w:t xml:space="preserve">Базове ТЗ + інтегровані рекомендації конкурентного аналізу</w:t>
      </w: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Нові та розширені розділи позначені </w:t>
      </w:r>
      <w:r>
        <w:rPr>
          <w:b/>
          <w:bCs/>
          <w:color w:val="C0392B"/>
          <w:sz w:val="22"/>
          <w:szCs w:val="22"/>
        </w:rPr>
        <w:t xml:space="preserve">[NEW]</w:t>
      </w:r>
      <w:r>
        <w:rPr>
          <w:color w:val="666666"/>
          <w:sz w:val="22"/>
          <w:szCs w:val="22"/>
        </w:rPr>
        <w:t xml:space="preserve"> | Розділи з конкурентного аналізу позначені </w:t>
      </w:r>
      <w:r>
        <w:rPr>
          <w:b/>
          <w:bCs/>
          <w:color w:val="1A7A3A"/>
          <w:sz w:val="22"/>
          <w:szCs w:val="22"/>
        </w:rPr>
        <w:t xml:space="preserve">[CA]</w:t>
      </w:r>
    </w:p>
    <w:p>
      <w:pPr>
        <w:spacing w:before="400"/>
        <w:jc w:val="center"/>
      </w:pPr>
      <w:r>
        <w:rPr>
          <w:color w:val="333333"/>
          <w:sz w:val="24"/>
          <w:szCs w:val="24"/>
        </w:rPr>
        <w:t xml:space="preserve">Лютий 2026 | Версія 3.0</w:t>
      </w:r>
    </w:p>
    <w:p>
      <w:r>
        <w:br/>
      </w:r>
    </w:p>
    <w:p>
      <w:pPr>
        <w:pStyle w:val="Heading1"/>
        <w:spacing w:before="200"/>
      </w:pPr>
      <w:r>
        <w:t xml:space="preserve">Зміст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0. Визначення продукту</w:t>
      </w:r>
    </w:p>
    <w:p>
      <w:pPr>
        <w:spacing w:after="120"/>
      </w:pPr>
      <w:r>
        <w:rPr>
          <w:sz w:val="22"/>
          <w:szCs w:val="22"/>
        </w:rPr>
        <w:t xml:space="preserve">Платформа — це операційна система для онлайн-практики спеціалістів допоміжних професій: психологів, психотерапевтів, коучів, консультантів та ведучих груп/програм. Вона об'єднує: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Безпечну взаємодію клієнт ↔ спеціаліст (відео-сесії, чат, файли, інтерактиви)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CRM та кейс-менеджмент (особові справи, прогрес, версії, аудит)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Маркетплейс спеціалістів, груп, програм та марафонів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Платіжну інфраструктуру з підтримкою страхового білінгу (включаючи контроль оплат, виплати спеціалістам, обробку клеймів)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Інструменти утримання та залучення (прогрес/«Шлях героя», цикли інтеграції, Activity Hub, терапевтичні інструменти між сесіями)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AI-контур (транскрипція, структуровані клінічні нотатки, семантичний пошук, предиктивне флагування ризиків — за згодою)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Мобільні додатки для клієнта та спеціаліста з офлайн-доступом до критичних функцій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Модульну архітектуру для масштабування та майбутніх додатків (alter-ego, wearables, plug-ins)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Мультимовний інтерфейс та контент з повноцінною підтримкою i18n/L10n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Систему онбордингу та UX-супроводу для всіх ролей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Вбудовані механізми доступності (Accessibility, WCAG 2.1 AA, trauma-informed design)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Централізовану систему нотифікацій з гранулярним управлінням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Аналітику та дашборди для спеціалістів, організацій та платформи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Workflow страхових клеймів та крединшнелінгу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B2B/EAP модуль для контрактів з роботодавцями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Measurement-based care (MBC) — вимірювання результатів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Модель асинхронної терапії (messaging-only)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Модуль для спеціалістів: peer consultation, супервізія, CE кредити [CA]</w:t>
      </w:r>
    </w:p>
    <w:p>
      <w:pPr>
        <w:pStyle w:val="Heading1"/>
      </w:pPr>
      <w:r>
        <w:t xml:space="preserve">1. Ключові ролі та принцип доступу</w:t>
      </w:r>
    </w:p>
    <w:p>
      <w:pPr>
        <w:pStyle w:val="Heading2"/>
      </w:pPr>
      <w:r>
        <w:t xml:space="preserve">1.1 Ролі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Client (Клієнт)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Specialist (Спеціаліст): психолог / коуч / консультант / ведучий програм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Co-specialist / Co-facilitator (Со-ведучий / со-спеціаліст): бере участь за запрошенням та згодами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Supervisor (Супервізор): доступ строго за правилами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Organization Admin (Адмін організації): клініки/центри, командний режим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EAP Manager (Менеджер EAP): управління корпоративними контрактами, агрегована звітність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Platform Admin (Адмін платформи): тільки тех. операції та комплаєнс за процедурами</w:t>
      </w:r>
    </w:p>
    <w:p>
      <w:pPr>
        <w:pStyle w:val="Heading2"/>
      </w:pPr>
      <w:r>
        <w:t xml:space="preserve">1.2 Головний принцип</w:t>
      </w:r>
    </w:p>
    <w:p>
      <w:pPr>
        <w:spacing w:after="120"/>
      </w:pPr>
      <w:r>
        <w:rPr>
          <w:sz w:val="22"/>
          <w:szCs w:val="22"/>
        </w:rPr>
        <w:t xml:space="preserve">Доступ визначається не «роллю взагалі», а зв'язкою Case/Program + Consent + Policies. Система управляє видимістю на рівні об'єктів: який спеціаліст бачить яку особову справу, які частини запису/нотаток доступні клієнту, хто може бути присутнім у груповій активності, хто може експортувати/передавати дані, хто і як використовує AI.</w:t>
      </w:r>
    </w:p>
    <w:p>
      <w:pPr>
        <w:pStyle w:val="Heading2"/>
      </w:pPr>
      <w:r>
        <w:t xml:space="preserve">1.3 Матриця дозволів за ролями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000"/>
        <w:gridCol w:w="900"/>
        <w:gridCol w:w="1000"/>
        <w:gridCol w:w="1000"/>
        <w:gridCol w:w="900"/>
        <w:gridCol w:w="1460"/>
      </w:tblGrid>
      <w:tr>
        <w:trPr>
          <w:tblHeader/>
        </w:trP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Дія</w:t>
            </w:r>
          </w:p>
        </w:tc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Specialist</w:t>
            </w:r>
          </w:p>
        </w:tc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Co-spec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Supervisor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Org Admin</w:t>
            </w:r>
          </w:p>
        </w:tc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EAP Mgr</w:t>
            </w:r>
          </w:p>
        </w:tc>
        <w:tc>
          <w:tcPr>
            <w:tcW w:type="dxa" w:w="14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Platf Admin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Перегляд Case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Свій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Свої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За запр.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За згодою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Метрики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Агрег.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Ні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Редаг. нотаток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Ні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Так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За прав.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Ні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Ні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Ні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Ні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Експорт даних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Свої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Свої Case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Ні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За згодою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Звіти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Агрег.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Процедура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Управл. Program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Ні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Свої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За запр.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Ні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Всі в орг.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Ні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Ні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AI-функції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За згодою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За згодою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За згодою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За згодою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Ні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Ні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Конфіг.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Фінанси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Свої оплати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Свої доходи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Ні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Ні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Звіти орг.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ROI-звіт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Комплаєнс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Видалення даних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Запит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Свої нотатки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Ні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Ні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Процедура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Ні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Процедура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Страх. клейми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Ні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Свої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Ні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Ні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Звіти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Агрег.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Комплаєнс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MBC дані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Свій прогрес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Свої Case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Ні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Аналіт.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Агрег.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Outcomes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Ні</w:t>
            </w:r>
          </w:p>
        </w:tc>
      </w:tr>
    </w:tbl>
    <w:p>
      <w:pPr>
        <w:pStyle w:val="Heading1"/>
      </w:pPr>
      <w:r>
        <w:t xml:space="preserve">2. Модель даних: Case, Program, Activity</w:t>
      </w:r>
    </w:p>
    <w:p>
      <w:pPr>
        <w:pStyle w:val="Heading2"/>
      </w:pPr>
      <w:r>
        <w:t xml:space="preserve">2.1 Case-centric модель (індивідуальна робота)</w:t>
      </w:r>
    </w:p>
    <w:p>
      <w:pPr>
        <w:spacing w:after="120"/>
      </w:pPr>
      <w:r>
        <w:rPr>
          <w:sz w:val="22"/>
          <w:szCs w:val="22"/>
        </w:rPr>
        <w:t xml:space="preserve">Case (Особова справа) — зв'язок Client ↔ Specialist у конкретному контексті. Один клієнт може мати багато Case у різних спеціалістів. У кожного Case окремі: цілі, історія, файли, нотатки, згоди, прогрес, версії, intake-дані, outcome-трекінг та страхова інформація.</w:t>
      </w:r>
    </w:p>
    <w:p>
      <w:pPr>
        <w:pStyle w:val="Heading2"/>
      </w:pPr>
      <w:r>
        <w:t xml:space="preserve">2.2 Program / Group (групи, курси, марафони)</w:t>
      </w:r>
    </w:p>
    <w:p>
      <w:pPr>
        <w:spacing w:after="120"/>
      </w:pPr>
      <w:r>
        <w:rPr>
          <w:sz w:val="22"/>
          <w:szCs w:val="22"/>
        </w:rPr>
        <w:t xml:space="preserve">Program (або Group) — контейнер групового формату: терапевтична група, коучингова програма, марафон, цикл тематичних занять, корпоративна програма. Program має: власника/команду ведучих, формат (live / async / hybrid), правила набору/участі, структуру (цикли, активності), контент і матеріали, чат(и), платіжну модель, метрики залучення, підтримку автоматичної доставки крапельного контенту [CA].</w:t>
      </w:r>
    </w:p>
    <w:p>
      <w:pPr>
        <w:pStyle w:val="Heading2"/>
      </w:pPr>
      <w:r>
        <w:t xml:space="preserve">2.3 Activity та Activity Hub</w:t>
      </w:r>
    </w:p>
    <w:p>
      <w:pPr>
        <w:spacing w:after="120"/>
      </w:pPr>
      <w:r>
        <w:rPr>
          <w:sz w:val="22"/>
          <w:szCs w:val="22"/>
        </w:rPr>
        <w:t xml:space="preserve">Будь-яка одиниця роботи в рамках Program оформлюється як Activity.</w:t>
      </w:r>
    </w:p>
    <w:p>
      <w:pPr>
        <w:spacing w:after="120"/>
      </w:pPr>
      <w:r>
        <w:rPr>
          <w:sz w:val="22"/>
          <w:szCs w:val="22"/>
        </w:rPr>
        <w:t xml:space="preserve">Типи Activity: Core Session (60-120 хв), Integration Standup (10-30 хв), Cycle/Module (контейнер), Closing Session (особлива сутність), Q&amp;A-сесія, майстер-клас, вебінар.</w:t>
      </w:r>
    </w:p>
    <w:p>
      <w:pPr>
        <w:spacing w:after="120"/>
      </w:pPr>
      <w:r>
        <w:rPr>
          <w:sz w:val="22"/>
          <w:szCs w:val="22"/>
        </w:rPr>
        <w:t xml:space="preserve">Activity Hub — єдина сторінка активності: Summary, News/Announcements, Chat, Materials, Progress/Reflection.</w:t>
      </w:r>
    </w:p>
    <w:p>
      <w:pPr>
        <w:pStyle w:val="Heading2"/>
      </w:pPr>
      <w:r>
        <w:t xml:space="preserve">2.4 Життєвий цикл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  <w:tc>
          <w:tcPr>
            <w:tcW w:type="dxa" w:w="3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Перехід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Draft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Первинне створення, заповнення даних, intake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→ Active після першої сесії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Активна робота, регулярні сесії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→ Paused при неактивності &gt;30 дн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Paused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Пауза (відпустка, перерва, очікування)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→ Closed при неактивності &gt;90 дн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Closed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Завершено (спеціалістом або клієнтом)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→ Archived через 6 місяців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Archived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Довгострокове зберігання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Видалення за retention policy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Transferred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Передано іншому спеціалісту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Новий Case = Active у нового</w:t>
            </w:r>
          </w:p>
        </w:tc>
      </w:tr>
    </w:tbl>
    <w:p>
      <w:pPr>
        <w:pStyle w:val="Heading3"/>
      </w:pPr>
      <w:r>
        <w:t xml:space="preserve">2.4.1 Передача Case між спеціалістами</w:t>
      </w:r>
    </w:p>
    <w:p>
      <w:pPr>
        <w:spacing w:after="120"/>
      </w:pPr>
      <w:r>
        <w:rPr>
          <w:sz w:val="22"/>
          <w:szCs w:val="22"/>
        </w:rPr>
        <w:t xml:space="preserve">Протокол передачі: ініціатор — клієнт або спеціаліст (за згодою клієнта). Передані дані визначаються Consent Engine. Період паралельного доступу: настроюваний (14 днів за замовчуванням). Контекстне саммарі для нового спеціаліста — «тепла передача» з відстеженням статусу рефералу [CA]. Повне логування факту передачі та обсягу даних.</w:t>
      </w:r>
    </w:p>
    <w:p>
      <w:pPr>
        <w:pStyle w:val="Heading3"/>
      </w:pPr>
      <w:r>
        <w:t xml:space="preserve">2.4.2 Data retention та експорт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Активні Case: повне зберігання без обмежень.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Archived Case: стиснення, перенос у холодне сховище.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Строки зберігання: per Organization / per Jurisdiction (GDPR — право на видалення; HIPAA — мінімум 6 років).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42 CFR Part 2: сегрегація нотаток SUD counseling, окрема згода [CA].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Психотерапевтичні нотатки: окреме зберігання від клінічних записів за HIPAA [CA].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Експорт: ZIP (JSON + файли + PDF-звіт) у машиночитаному форматі.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Право бути забутим: повне видалення з каскадом. Аудит-лог зберігається окремо.</w:t>
      </w:r>
    </w:p>
    <w:p>
      <w:pPr>
        <w:pStyle w:val="Heading1"/>
      </w:pPr>
      <w:r>
        <w:t xml:space="preserve">3. Підтримувані формати роботи</w:t>
      </w:r>
    </w:p>
    <w:p>
      <w:pPr>
        <w:pStyle w:val="Heading2"/>
      </w:pPr>
      <w:r>
        <w:t xml:space="preserve">3.1 Індивідуальні консультації (1:1)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Відео-сесії з верифікацією локації пацієнта на кожній сесії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Захищений чат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Файли та інтерактиви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Case-карта, план, прогрес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Контроль оплат (клієнт → спеціаліст, клієнт → платформа, спеціаліст → платформа)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Intake-форми з е-підписами, умовною логікою, автоматизованими послідовностями прийому [CA]</w:t>
      </w:r>
    </w:p>
    <w:p>
      <w:pPr>
        <w:pStyle w:val="Heading2"/>
      </w:pPr>
      <w:r>
        <w:t xml:space="preserve">3.2 Асинхронна терапія (messaging-only) [CA]</w:t>
      </w:r>
      <w:r>
        <w:rPr>
          <w:b/>
          <w:bCs/>
          <w:color w:val="C0392B"/>
          <w:sz w:val="22"/>
          <w:szCs w:val="22"/>
        </w:rPr>
        <w:t xml:space="preserve"> [NEW]</w:t>
      </w:r>
    </w:p>
    <w:p>
      <w:pPr>
        <w:spacing w:after="120"/>
      </w:pPr>
      <w:r>
        <w:rPr>
          <w:sz w:val="22"/>
          <w:szCs w:val="22"/>
        </w:rPr>
        <w:t xml:space="preserve">Модель асинхронної терапії — ключовий диференціатор BetterHelp та Talkspace. Платформа повинна підтримувати: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Messaging-only підписку як базовий тариф.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SLA часу відповіді спеціаліста (настроюваний: 2/4/8/24 години).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Мультимедійні повідомлення (текст, аудіо, відео, зображення).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Структуру компенсації спеціалістів за async-роботу (окрема від сесійної).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Індикатор онлайн-статусу та очікуваного часу відповіді.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Метрики залучення: середній час відповіді, кількість обмінів на день.</w:t>
      </w:r>
    </w:p>
    <w:p>
      <w:pPr>
        <w:pStyle w:val="Heading2"/>
      </w:pPr>
      <w:r>
        <w:t xml:space="preserve">3.3 Групова терапія / групи підтримки (live)</w:t>
      </w:r>
    </w:p>
    <w:p>
      <w:pPr>
        <w:spacing w:after="120"/>
      </w:pPr>
      <w:r>
        <w:rPr>
          <w:sz w:val="22"/>
          <w:szCs w:val="22"/>
        </w:rPr>
        <w:t xml:space="preserve">Типи груп: постійна (фікс. склад), обмежена (cohort-based, 6-12 тижнів), напіввідкрита (додавання за правилами + onboarding-модуль). Групова терапія трактується як first-class модальність зі специфічними інструментами фасилітації [CA]. В групі завжди розділяються два шари: Group Context (правила, матеріали, саммарі) та Individual Layer (особисті нотатки/прогрес — невидимі іншим).</w:t>
      </w:r>
    </w:p>
    <w:p>
      <w:pPr>
        <w:pStyle w:val="Heading2"/>
      </w:pPr>
      <w:r>
        <w:t xml:space="preserve">3.4 Програми та марафони (live + async + hybrid)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Структуровані етапи з підтримкою крапельного контенту / evergreen програм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Live-зустрічі за розкладом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Асинхронні чек-іни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Когортна послідовність — синхронізація груп через контент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Гейміфікація прогресу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Чати за контекстом</w:t>
      </w:r>
    </w:p>
    <w:p>
      <w:pPr>
        <w:pStyle w:val="Heading2"/>
      </w:pPr>
      <w:r>
        <w:t xml:space="preserve">3.5 Циклічна інтеграційна група</w:t>
      </w:r>
    </w:p>
    <w:p>
      <w:pPr>
        <w:spacing w:after="120"/>
      </w:pPr>
      <w:r>
        <w:rPr>
          <w:sz w:val="22"/>
          <w:szCs w:val="22"/>
        </w:rPr>
        <w:t xml:space="preserve">Формат із високою прикладною інтеграцією: Core Session (1-2 години) по темі/навичці → серія Integration Standups → наступний цикл → Closing Session. Закриває розрив між «зрозумів на сесії» та «впровадив у житті».</w:t>
      </w:r>
    </w:p>
    <w:p>
      <w:pPr>
        <w:pStyle w:val="Heading1"/>
      </w:pPr>
      <w:r>
        <w:t xml:space="preserve">4. Session Workspace — ядро взаємодії</w:t>
      </w:r>
    </w:p>
    <w:p>
      <w:pPr>
        <w:pStyle w:val="Heading2"/>
      </w:pPr>
      <w:r>
        <w:t xml:space="preserve">4.1 Загальна структура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Відео з адаптивною якістю та fallback на аудіо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Чат (вбудований захищений)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Файли/артефакти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Інтерактиви (опитувальники, шкали, вправи, дошка)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Демонстрація екрану та інтерактивна дошка з терапевтичними інструментами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Контекст (план, цілі, важливі маркери)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Управління сесією (наступна зустріч, нотатки, оплата, домашки)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Субтитри в реальному часі (AI-транскрипція як accessibility use-case)</w:t>
      </w:r>
    </w:p>
    <w:p>
      <w:pPr>
        <w:pStyle w:val="Heading2"/>
      </w:pPr>
      <w:r>
        <w:t xml:space="preserve">4.2 Grounding — вбудований модуль безпеки</w:t>
      </w:r>
    </w:p>
    <w:p>
      <w:pPr>
        <w:spacing w:after="120"/>
      </w:pPr>
      <w:r>
        <w:rPr>
          <w:sz w:val="22"/>
          <w:szCs w:val="22"/>
        </w:rPr>
        <w:t xml:space="preserve">Кнопка «Заземлення» доступна у відеосесії. При активації: у клієнта — візуальний дихальний гайд / анімація / сенсорний протокол; у спеціаліста — панель управління. Режими: індивідуальний, груповий, самостійний. Підтримка Reduced Motion та високого контрасту. Офлайн-доступ у мобільному додатку.</w:t>
      </w:r>
    </w:p>
    <w:p>
      <w:pPr>
        <w:pStyle w:val="Heading2"/>
      </w:pPr>
      <w:r>
        <w:t xml:space="preserve">4.3 Кімната очікування / лобі [CA]</w:t>
      </w:r>
      <w:r>
        <w:rPr>
          <w:b/>
          <w:bCs/>
          <w:color w:val="C0392B"/>
          <w:sz w:val="22"/>
          <w:szCs w:val="22"/>
        </w:rPr>
        <w:t xml:space="preserve"> [NEW]</w:t>
      </w:r>
    </w:p>
    <w:p>
      <w:pPr>
        <w:spacing w:after="120"/>
      </w:pPr>
      <w:r>
        <w:rPr>
          <w:sz w:val="22"/>
          <w:szCs w:val="22"/>
        </w:rPr>
        <w:t xml:space="preserve">Стандарт усіх телездоров'я-платформ. Включає: тест камери/мікрофону, перевірку з'єднання, передсесійну діагностику. Зменшує неявки та технічні збої.</w:t>
      </w:r>
    </w:p>
    <w:p>
      <w:pPr>
        <w:pStyle w:val="Heading2"/>
      </w:pPr>
      <w:r>
        <w:t xml:space="preserve">4.4 Pre-session флоу</w:t>
      </w:r>
    </w:p>
    <w:p>
      <w:pPr>
        <w:pStyle w:val="Heading3"/>
      </w:pPr>
      <w:r>
        <w:t xml:space="preserve">Для клієнта: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За 24 години: email-нагадування з кнопкою підтвердження / перенесення.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За 1 годину: push-повідомлення.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За 15 хвилин: короткий чек-ін (шкала 1-10 + вільне поле) — опціонально.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За 5 хвилин: автоматична перевірка камери, мікрофону, швидкості з'єднання.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Кнопка «Увійти в сесію» — за 5 хвилин до початку.</w:t>
      </w:r>
    </w:p>
    <w:p>
      <w:pPr>
        <w:pStyle w:val="Heading3"/>
      </w:pPr>
      <w:r>
        <w:t xml:space="preserve">Для спеціаліста: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Pre-session brief: картка клієнта з останніми нотатками, цілями, статусом домашнього завдання, результатом чек-іну та outcome-трекінгом.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Швидкий доступ до стенографії минулих сесій.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Флаги: маркери risk level, важливі події між сесіями, результати MBC-скринінгу [CA].</w:t>
      </w:r>
    </w:p>
    <w:p>
      <w:pPr>
        <w:pStyle w:val="Heading2"/>
      </w:pPr>
      <w:r>
        <w:t xml:space="preserve">4.5 Post-session флоу</w:t>
      </w:r>
    </w:p>
    <w:p>
      <w:pPr>
        <w:pStyle w:val="Heading3"/>
      </w:pPr>
      <w:r>
        <w:t xml:space="preserve">Для спеціаліста: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Структуровані шаблони клінічних нотаток (SOAP, DAP, BIRP, GIRP) [CA] з прив'язкою до DSM-5 та SMART-цілями.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AI-суммарі сесії як чернетка у форматі обраного шаблону (якщо AI увімкнено та згоду отримано) [CA].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Призначення домашнього завдання з дедлайном та авто-нагадуванням клієнту.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Призначення терапевтичних інструментів між сесіями (журнали, CBT thought records, DBT diary cards, план безпеки) [CA].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Букінг наступної сесії (один клік для recurring).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Таймер: нагадування через 30 хв якщо нотатки не заповнені.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Автоматична генерація страхового клейму з даних сесії [CA].</w:t>
      </w:r>
    </w:p>
    <w:p>
      <w:pPr>
        <w:pStyle w:val="Heading3"/>
      </w:pPr>
      <w:r>
        <w:t xml:space="preserve">Для клієнта: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Короткий фідбек (опціонально): «Чи відчуваєте ви, що вас почули?»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Підтвердження домашнього завдання.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Доступ до матеріалів сесії (якщо дозволено).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Пропозиція grounding-вправи (за маркером спеціаліста).</w:t>
      </w:r>
    </w:p>
    <w:p>
      <w:pPr>
        <w:pStyle w:val="Heading2"/>
      </w:pPr>
      <w:r>
        <w:t xml:space="preserve">4.6 Надійність та обробка помилок у сесії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Втрата з'єднання: автоматичне перепідключення (до 30 сек), повідомлення іншому учаснику, fallback на аудіо.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Падіння сервісу: граціозна деградація — сесія продовжується без AI, буферизація на клієнті.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Мобільний додаток: background audio при згортанні, автоматичне перемикання Wi-Fi ↔ 4G/5G.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Індикатор якості зв'язку в реальному часі для обох учасників.</w:t>
      </w:r>
    </w:p>
    <w:p>
      <w:pPr>
        <w:pStyle w:val="Heading1"/>
      </w:pPr>
      <w:r>
        <w:t xml:space="preserve">5. Комунікація: чати + нотифікації</w:t>
      </w:r>
    </w:p>
    <w:p>
      <w:pPr>
        <w:pStyle w:val="Heading2"/>
      </w:pPr>
      <w:r>
        <w:t xml:space="preserve">5.1 Типи чатів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Program Chat — загальний чат програми/марафону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Cycle Chat — чат поточної теми/модуля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Standup Chat — короткі звіти: «що вдалося / де застряг»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Activity Chat — чат конкретної активності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Direct-to-Specialist in Program — особисті питання ведучому</w:t>
      </w:r>
    </w:p>
    <w:p>
      <w:pPr>
        <w:pStyle w:val="Heading2"/>
      </w:pPr>
      <w:r>
        <w:t xml:space="preserve">5.2 Модерація, безпека, «антишум»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Правила спілкування (accept-on-join), slow-mode, mute, pinned posts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Шаблони повідомлень, теги: питання / досвід / стоп-фактор / інсайт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Прозорі очікування часу відповіді спеціаліста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Клінічна модерація для peer support спільнот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Аудит дій модерації</w:t>
      </w:r>
    </w:p>
    <w:p>
      <w:pPr>
        <w:pStyle w:val="Heading2"/>
      </w:pPr>
      <w:r>
        <w:t xml:space="preserve">5.3 Система нотифікацій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  <w:tc>
          <w:tcPr>
            <w:tcW w:type="dxa" w:w="5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Коли використовується</w:t>
            </w:r>
          </w:p>
        </w:tc>
        <w:tc>
          <w:tcPr>
            <w:tcW w:type="dxa" w:w="2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Пріоритет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Push (mobile)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Нагадування, нові повідомлення, чек-іни, домашнє завдання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Високий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Підтвердження запису, рахунки, дайджести, експорт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Середній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In-app (bell)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Всі події платформи, unread-лічильник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Базовий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SMS (опціон.)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Критичні: відміна/перенос, кризові повідомлення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Критичний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Управління: гранулярні налаштування per роль, Quiet hours (21:00-08:00 за замовч.) для профілактики вигоряння, DND під час сесій, Digest mode, Frequency cap. Push-стратегія: opt-in, обмежені до 1-3 на день, мотиваційні [CA].</w:t>
      </w:r>
    </w:p>
    <w:p>
      <w:pPr>
        <w:pStyle w:val="Heading1"/>
      </w:pPr>
      <w:r>
        <w:t xml:space="preserve">6. Страховий білінг та клінічна документація [CA]</w:t>
      </w:r>
    </w:p>
    <w:p>
      <w:pPr>
        <w:spacing w:after="120"/>
      </w:pPr>
      <w:r>
        <w:rPr>
          <w:sz w:val="22"/>
          <w:szCs w:val="22"/>
        </w:rPr>
        <w:t xml:space="preserve">Страховий білінг — гравітаційний центр платформи. Це одночасно топ-фіча, що приваблює терапевтів, основний механізм утримання, enabler для B2B/EAP контрактів та міст до outcomes-based pricing. Інвестиція у надійний claims workflow розблоковує каскадну цінність по всій платформі.</w:t>
      </w:r>
    </w:p>
    <w:p>
      <w:pPr>
        <w:pStyle w:val="Heading2"/>
      </w:pPr>
      <w:r>
        <w:t xml:space="preserve">6.1 Workflow страхових клеймів [CA]</w:t>
      </w:r>
      <w:r>
        <w:rPr>
          <w:b/>
          <w:bCs/>
          <w:color w:val="C0392B"/>
          <w:sz w:val="22"/>
          <w:szCs w:val="22"/>
        </w:rPr>
        <w:t xml:space="preserve"> [NEW]</w:t>
      </w:r>
    </w:p>
    <w:p>
      <w:pPr>
        <w:spacing w:after="120"/>
      </w:pPr>
      <w:r>
        <w:rPr>
          <w:sz w:val="22"/>
          <w:szCs w:val="22"/>
        </w:rPr>
        <w:t xml:space="preserve">Критична прогалина №1 з конкурентного аналізу. Без обробки клеймів неможливо обслуговувати 78%+ клієнтів зі страхуванням.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Подання 837P електронних клеймів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Авто-проводка ERA/835 (Remittance Advice)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Перевірка eligibility в реальному часі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Генерація superbill для клієнтів out-of-network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Верифікація copay перед сесією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Tracking denied claims з workflow повторного подання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Гарантована оплата спеціалісту незалежно від статусу клейму (опція для преміум-плану)</w:t>
      </w:r>
    </w:p>
    <w:p>
      <w:pPr>
        <w:pStyle w:val="Heading2"/>
      </w:pPr>
      <w:r>
        <w:t xml:space="preserve">6.2 Підтримка крединшнелінгу [CA]</w:t>
      </w:r>
      <w:r>
        <w:rPr>
          <w:b/>
          <w:bCs/>
          <w:color w:val="C0392B"/>
          <w:sz w:val="22"/>
          <w:szCs w:val="22"/>
        </w:rPr>
        <w:t xml:space="preserve"> [NEW]</w:t>
      </w:r>
    </w:p>
    <w:p>
      <w:pPr>
        <w:spacing w:after="120"/>
      </w:pPr>
      <w:r>
        <w:rPr>
          <w:sz w:val="22"/>
          <w:szCs w:val="22"/>
        </w:rPr>
        <w:t xml:space="preserve">Headway побудував бізнес на $2,3 млрд переважно на крединшнелінгу. Платформа підтримує: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Заявки на страхові панелі (подання, відстеження статусу)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Інтеграція з CAQH ProView (профілі провайдерів)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Крединшнелінг під груповим Tax ID платформи (опція)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Крединшнелінг під індивідуальним NPI спеціаліста</w:t>
      </w:r>
    </w:p>
    <w:p>
      <w:pPr>
        <w:pStyle w:val="Heading2"/>
      </w:pPr>
      <w:r>
        <w:t xml:space="preserve">6.3 Шаблони клінічної документації [CA]</w:t>
      </w:r>
      <w:r>
        <w:rPr>
          <w:b/>
          <w:bCs/>
          <w:color w:val="C0392B"/>
          <w:sz w:val="22"/>
          <w:szCs w:val="22"/>
        </w:rPr>
        <w:t xml:space="preserve"> [NEW]</w:t>
      </w:r>
    </w:p>
    <w:p>
      <w:pPr>
        <w:spacing w:after="120"/>
      </w:pPr>
      <w:r>
        <w:rPr>
          <w:sz w:val="22"/>
          <w:szCs w:val="22"/>
        </w:rPr>
        <w:t xml:space="preserve">Кожна EHR пропонує структуровані progress notes. AI-транскрипція недостатня — потрібні комплаєнс-шаблони для страхових аудитів та стандартів ліцензійних комісій.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SOAP (Subjective, Objective, Assessment, Plan)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DAP (Data, Assessment, Plan)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BIRP (Behavior, Intervention, Response, Plan)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GIRP (Goals, Intervention, Response, Plan)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Шаблони планів лікування з прив'язкою до DSM-5 та SMART-цілями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AI-генерація клінічних нотаток з транскриптів сесій у обраному форматі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Флагування високого ризику — автоматичне виявлення мови ризику [CA]</w:t>
      </w:r>
    </w:p>
    <w:p>
      <w:pPr>
        <w:pStyle w:val="Heading2"/>
      </w:pPr>
      <w:r>
        <w:t xml:space="preserve">6.4 Intake-форми та конструктор опитувальників [CA]</w:t>
      </w:r>
      <w:r>
        <w:rPr>
          <w:b/>
          <w:bCs/>
          <w:color w:val="C0392B"/>
          <w:sz w:val="22"/>
          <w:szCs w:val="22"/>
        </w:rPr>
        <w:t xml:space="preserve"> [NEW]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Цифрові форми прийому з е-підписами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Умовна логіка (показувати/ховати поля за відповідями)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Завантаження страхової картки (OCR)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Автоматизовані послідовності прийому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Передсесійні анкети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Конструктор власних форм та опитувальників</w:t>
      </w:r>
    </w:p>
    <w:p>
      <w:pPr>
        <w:pStyle w:val="Heading2"/>
      </w:pPr>
      <w:r>
        <w:t xml:space="preserve">6.5 Measurement-Based Care (MBC) [CA]</w:t>
      </w:r>
      <w:r>
        <w:rPr>
          <w:b/>
          <w:bCs/>
          <w:color w:val="C0392B"/>
          <w:sz w:val="22"/>
          <w:szCs w:val="22"/>
        </w:rPr>
        <w:t xml:space="preserve"> [NEW]</w:t>
      </w:r>
    </w:p>
    <w:p>
      <w:pPr>
        <w:spacing w:after="120"/>
      </w:pPr>
      <w:r>
        <w:rPr>
          <w:sz w:val="22"/>
          <w:szCs w:val="22"/>
        </w:rPr>
        <w:t xml:space="preserve">MBC дає 3,5x вищу ймовірність надійних змін та на 40% менший dropout. APA, SAMHSA та CMS підтримують. Платники все частіше вимагають.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Стандартизовані інструменти: PHQ-9 (депресія), GAD-7 (тривожність), PCL-5 (ПТСР), C-SSRS (суїцидальний ризик), ORS/SRS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Автоматичне оцінювання та лонгітудінальне відстеження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Флагування високого ризику з алертами спеціалісту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Візуалізація прогресу для клієнта та спеціаліста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Агреговані outcome-дані для B2B звітності (privacy-by-design)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Інтеграція з кризовим протоколом при критичних показниках</w:t>
      </w:r>
    </w:p>
    <w:p>
      <w:pPr>
        <w:pStyle w:val="Heading2"/>
      </w:pPr>
      <w:r>
        <w:t xml:space="preserve">6.6 Верифікація локації пацієнта [CA]</w:t>
      </w:r>
      <w:r>
        <w:rPr>
          <w:b/>
          <w:bCs/>
          <w:color w:val="C0392B"/>
          <w:sz w:val="22"/>
          <w:szCs w:val="22"/>
        </w:rPr>
        <w:t xml:space="preserve"> [NEW]</w:t>
      </w:r>
    </w:p>
    <w:p>
      <w:pPr>
        <w:spacing w:after="120"/>
      </w:pPr>
      <w:r>
        <w:rPr>
          <w:sz w:val="22"/>
          <w:szCs w:val="22"/>
        </w:rPr>
        <w:t xml:space="preserve">Юридична вимога, не фіча. Ліцензування, реагування на надзвичайні ситуації та юрисдикційний комплаєнс вимагають знання фізичного місцезнаходження клієнта на кожній сесії.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Верифікація при вході в сесію (геолокація або ручне підтвердження)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Перехресна перевірка ліцензії спеціаліста щодо локації клієнта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Інтеграція Interstate Compacts (PSYPACT 43+ штатів, Counseling Compact, Social Work Compact) [CA]</w:t>
      </w:r>
    </w:p>
    <w:p>
      <w:pPr>
        <w:pStyle w:val="Heading2"/>
      </w:pPr>
      <w:r>
        <w:t xml:space="preserve">6.7 Е-рецепти (опціональний модуль) [CA]</w:t>
      </w:r>
      <w:r>
        <w:rPr>
          <w:b/>
          <w:bCs/>
          <w:color w:val="C0392B"/>
          <w:sz w:val="22"/>
          <w:szCs w:val="22"/>
        </w:rPr>
        <w:t xml:space="preserve"> [NEW]</w:t>
      </w:r>
    </w:p>
    <w:p>
      <w:pPr>
        <w:spacing w:after="120"/>
      </w:pPr>
      <w:r>
        <w:rPr>
          <w:sz w:val="22"/>
          <w:szCs w:val="22"/>
        </w:rPr>
        <w:t xml:space="preserve">Обов'язково якщо платформа обслуговує психіатрів. Гнучкість DEA для телемедицини до 31.12.2026.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Інтеграція Surescripts/DoseSpot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EPCS (Electronic Prescribing for Controlled Substances)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Перевірка взаємодії ліків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Доступ до PDMP (Prescription Drug Monitoring Program)</w:t>
      </w:r>
    </w:p>
    <w:p>
      <w:pPr>
        <w:pStyle w:val="Heading1"/>
      </w:pPr>
      <w:r>
        <w:t xml:space="preserve">7. B2B/EAP модуль [CA]</w:t>
      </w:r>
    </w:p>
    <w:p>
      <w:pPr>
        <w:spacing w:after="120"/>
      </w:pPr>
      <w:r>
        <w:rPr>
          <w:sz w:val="22"/>
          <w:szCs w:val="22"/>
        </w:rPr>
        <w:t xml:space="preserve">B2B — де зростання: дохід Talkspace від payors зріс на 42% рік до року, поки DTC впав на 23%. Без EAP платформа пропускає домінантний вектор зростання.</w:t>
      </w:r>
    </w:p>
    <w:p>
      <w:pPr>
        <w:pStyle w:val="Heading2"/>
      </w:pPr>
      <w:r>
        <w:t xml:space="preserve">7.1 Контракти з роботодавцями</w:t>
      </w:r>
      <w:r>
        <w:rPr>
          <w:b/>
          <w:bCs/>
          <w:color w:val="C0392B"/>
          <w:sz w:val="22"/>
          <w:szCs w:val="22"/>
        </w:rPr>
        <w:t xml:space="preserve"> [NEW]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Адмін-панель роботодавця: управління eligible, кількість сесій на працівника, бюджет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Агреговані дашборди з privacy-by-design (жодних індивідуальних даних)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Звітність ROI у реальному часі (за моделлю Spring Health Atlas)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Управління eligible: завантаження списків, SSO-інтеграція з HR-системами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Підтримка outcomes-based pricing: без фіксованих комісій, оплата за надану та доведено ефективну допомогу [CA]</w:t>
      </w:r>
    </w:p>
    <w:p>
      <w:pPr>
        <w:pStyle w:val="Heading2"/>
      </w:pPr>
      <w:r>
        <w:t xml:space="preserve">7.2 Структура EAP</w:t>
      </w:r>
      <w:r>
        <w:rPr>
          <w:b/>
          <w:bCs/>
          <w:color w:val="C0392B"/>
          <w:sz w:val="22"/>
          <w:szCs w:val="22"/>
        </w:rPr>
        <w:t xml:space="preserve"> [NEW]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Per-Employee-Per-Month (PEPM) модель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Фіксована кількість сесій на працівника (3, 6, 8, 12 — настроюваний)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Digital-first доступ для підвищення утилізації (цільова: 15-25% замість традиційних 3-5%)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Записи на той самий день / наступний день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Гарантії ROI з положеннями про повернення коштів (за моделлю Lyra/Spring Health) [CA]</w:t>
      </w:r>
    </w:p>
    <w:p>
      <w:pPr>
        <w:pStyle w:val="Heading2"/>
      </w:pPr>
      <w:r>
        <w:t xml:space="preserve">7.3 Звітність для роботодавців</w:t>
      </w:r>
      <w:r>
        <w:rPr>
          <w:b/>
          <w:bCs/>
          <w:color w:val="C0392B"/>
          <w:sz w:val="22"/>
          <w:szCs w:val="22"/>
        </w:rPr>
        <w:t xml:space="preserve"> [NEW]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Утилізація (% працівників, що використовують сервіс)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Outcome metrics (агреговане покращення PHQ-9/GAD-7 без ідентифікації)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Час від запиту до першої сесії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Задоволеність (CSAT/NPS)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ROI калькулятор: вплив на абсентеїзм, продуктивність, плинність кадрів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Порівняння з галузевими benchmarks</w:t>
      </w:r>
    </w:p>
    <w:p>
      <w:pPr>
        <w:pStyle w:val="Heading1"/>
      </w:pPr>
      <w:r>
        <w:t xml:space="preserve">8. Терапевтичні інструменти між сесіями [CA]</w:t>
      </w:r>
    </w:p>
    <w:p>
      <w:pPr>
        <w:spacing w:after="120"/>
      </w:pPr>
      <w:r>
        <w:rPr>
          <w:sz w:val="22"/>
          <w:szCs w:val="22"/>
        </w:rPr>
        <w:t xml:space="preserve">Модель Wysa Copilot (терапевт призначає → клієнт виконує → дані повертаються) — новий золотий стандарт. Mental health apps без клінічного якоря мають 30-денний retention лише 3,3%.</w:t>
      </w:r>
    </w:p>
    <w:p>
      <w:pPr>
        <w:pStyle w:val="Heading2"/>
      </w:pPr>
      <w:r>
        <w:t xml:space="preserve">8.1 Бібліотека інструментів</w:t>
      </w:r>
      <w:r>
        <w:rPr>
          <w:b/>
          <w:bCs/>
          <w:color w:val="C0392B"/>
          <w:sz w:val="22"/>
          <w:szCs w:val="22"/>
        </w:rPr>
        <w:t xml:space="preserve"> [NEW]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Журнал настрою (щоденний mood check-in)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CBT Thought Records (автоматичні думки → когнітивні спотворення → альтернативні думки)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DBT Diary Cards (відстеження емоцій, навичок, дій)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План безпеки (модель Stanley-Brown), збережений локально для офлайн-доступу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Дихальні та заземлюючі вправи на вимогу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Керований журнал з AI-аналізом (за згодою)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Трекінг звичок (покращення дотримання на 60%)</w:t>
      </w:r>
    </w:p>
    <w:p>
      <w:pPr>
        <w:pStyle w:val="Heading2"/>
      </w:pPr>
      <w:r>
        <w:t xml:space="preserve">8.2 Модель призначення</w:t>
      </w:r>
      <w:r>
        <w:rPr>
          <w:b/>
          <w:bCs/>
          <w:color w:val="C0392B"/>
          <w:sz w:val="22"/>
          <w:szCs w:val="22"/>
        </w:rPr>
        <w:t xml:space="preserve"> [NEW]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Спеціаліст обирає інструменти з бібліотеки та призначає клієнту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Клієнт отримує push-нагадування та виконує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Дані виконання/прогресу повертаються до спеціаліста у pre-session brief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Спеціаліст може створювати власні інструменти (конструктор)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Персоналізовані рекомендації (покращення залучення на 36%) [CA]</w:t>
      </w:r>
    </w:p>
    <w:p>
      <w:pPr>
        <w:pStyle w:val="Heading2"/>
      </w:pPr>
      <w:r>
        <w:t xml:space="preserve">8.3 Інтеграція з носимими пристроями [CA]</w:t>
      </w:r>
      <w:r>
        <w:rPr>
          <w:b/>
          <w:bCs/>
          <w:color w:val="C0392B"/>
          <w:sz w:val="22"/>
          <w:szCs w:val="22"/>
        </w:rPr>
        <w:t xml:space="preserve"> [NEW]</w:t>
      </w:r>
    </w:p>
    <w:p>
      <w:pPr>
        <w:spacing w:after="120"/>
      </w:pPr>
      <w:r>
        <w:rPr>
          <w:sz w:val="22"/>
          <w:szCs w:val="22"/>
        </w:rPr>
        <w:t xml:space="preserve">Пасивний збір даних забезпечує digital phenotyping та багатші інсайти між сесіями.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Apple Health, Google Fit, Fitbit, Garmin, Oura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Синхронізація даних: сон, активність, серцевий ритм, HRV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Consent-based: клієнт явно дозволяє кожен тип даних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Візуалізація трендів для спеціаліста (не діагностика, а інформація)</w:t>
      </w:r>
    </w:p>
    <w:p>
      <w:pPr>
        <w:pStyle w:val="Heading1"/>
      </w:pPr>
      <w:r>
        <w:t xml:space="preserve">9. Модуль для спеціалістів: peer consultation та розвиток [CA]</w:t>
      </w:r>
    </w:p>
    <w:p>
      <w:pPr>
        <w:spacing w:after="120"/>
      </w:pPr>
      <w:r>
        <w:rPr>
          <w:sz w:val="22"/>
          <w:szCs w:val="22"/>
        </w:rPr>
        <w:t xml:space="preserve">Дуже мало платформ пропонують інтегровані інструменти provider-to-provider. Це справжній диференціатор.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Peer consultation: структуровані групи обговорення випадків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Деідентифіковане представлення випадків (автоматичне маскування PII)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Документація супервізії (для supervisee та supervisor)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Трекінг CE кредитів (Continuing Education)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Інтеграція з CompactConnect для PSYPACT/Counseling Compact [CA]</w:t>
      </w:r>
    </w:p>
    <w:p>
      <w:pPr>
        <w:pStyle w:val="Heading1"/>
      </w:pPr>
      <w:r>
        <w:t xml:space="preserve">10. Activity Hub та прогрес</w:t>
      </w:r>
    </w:p>
    <w:p>
      <w:pPr>
        <w:pStyle w:val="Heading2"/>
      </w:pPr>
      <w:r>
        <w:t xml:space="preserve">10.1 Склад Activity 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Summary: ціль, короткий підсумок, ключові пункти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News: оголошення, зміни, закріплення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Chat: контекстний чат активності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Materials: файли, завдання, посилання, записи (якщо дозволено)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Progress/Reflection: чек-іни, міні-опитувальники, підсумки</w:t>
      </w:r>
    </w:p>
    <w:p>
      <w:pPr>
        <w:pStyle w:val="Heading2"/>
      </w:pPr>
      <w:r>
        <w:t xml:space="preserve">10.2 Closing Session</w:t>
      </w:r>
    </w:p>
    <w:p>
      <w:pPr>
        <w:spacing w:after="120"/>
      </w:pPr>
      <w:r>
        <w:rPr>
          <w:sz w:val="22"/>
          <w:szCs w:val="22"/>
        </w:rPr>
        <w:t xml:space="preserve">На Closing Session збирається: підсумок усього шляху, «святкування закінчення», подяки, артефакти, рекомендації «що далі», сертифікат/лист собі (опціонально), пропозиція наступних програм.</w:t>
      </w:r>
    </w:p>
    <w:p>
      <w:pPr>
        <w:pStyle w:val="Heading2"/>
      </w:pPr>
      <w:r>
        <w:t xml:space="preserve">10.3 Прогрес та гейміфікація (Retention Layer)</w:t>
      </w:r>
    </w:p>
    <w:p>
      <w:pPr>
        <w:spacing w:after="120"/>
      </w:pPr>
      <w:r>
        <w:rPr>
          <w:sz w:val="22"/>
          <w:szCs w:val="22"/>
        </w:rPr>
        <w:t xml:space="preserve">«Шлях героя»: візуальна карта шляху з етапами/чекпоінтами/milestones. Прогрес будується на: участі в активностях, виконанні завдань, чек-інах, відмітках ведучого.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Важливо з конкурентного аналізу: </w:t>
      </w:r>
      <w:r>
        <w:rPr>
          <w:sz w:val="22"/>
          <w:szCs w:val="22"/>
        </w:rPr>
        <w:t xml:space="preserve">гейміфікація при депресії має обмежену доказову базу. «Шлях героя» має фокусуватися на механіках послідовності (стріки, check-ins), а не на конкурентних механіках (таблиці лідерів, бали) [CA].</w:t>
      </w:r>
    </w:p>
    <w:p>
      <w:pPr>
        <w:pStyle w:val="Heading1"/>
      </w:pPr>
      <w:r>
        <w:t xml:space="preserve">11. Кабінети та мобільні додатки</w:t>
      </w:r>
    </w:p>
    <w:p>
      <w:pPr>
        <w:pStyle w:val="Heading2"/>
      </w:pPr>
      <w:r>
        <w:t xml:space="preserve">11.1 Клієнт (Web + Mobile)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Список своїх Case і Program, розклад, вхід у сесії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Activity Hub, чати, файли, завдання, щоденники, чек-іни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Grounding-інструменти (включно з офлайн)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Терапевтичні інструменти між сесіями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Прогрес («Шлях героя»)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Оплати, рахунки, підписки, повернення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Consent &amp; Privacy Center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Кризова кнопка SOS (завжди доступна)</w:t>
      </w:r>
    </w:p>
    <w:p>
      <w:pPr>
        <w:pStyle w:val="Heading2"/>
      </w:pPr>
      <w:r>
        <w:t xml:space="preserve">11.2 Спеціаліст (Web + Mobile)</w:t>
      </w:r>
    </w:p>
    <w:p>
      <w:pPr>
        <w:spacing w:after="120"/>
      </w:pPr>
      <w:r>
        <w:rPr>
          <w:sz w:val="22"/>
          <w:szCs w:val="22"/>
        </w:rPr>
        <w:t xml:space="preserve">Web (основний): CRM, Case management, розклад, Program management, Activity Hubs, фінанси, шаблони клінічних нотаток [CA], AI-панель, страхові клейми [CA], MBC-дашборд [CA], peer consultation [CA].</w:t>
      </w:r>
    </w:p>
    <w:p>
      <w:pPr>
        <w:spacing w:after="120"/>
      </w:pPr>
      <w:r>
        <w:rPr>
          <w:sz w:val="22"/>
          <w:szCs w:val="22"/>
        </w:rPr>
        <w:t xml:space="preserve">Mobile (оперативний): календар, повідомлення, вхід у сесії, чат-модерація, швидкі нотатки, grounding, MBC-алерти.</w:t>
      </w:r>
    </w:p>
    <w:p>
      <w:pPr>
        <w:pStyle w:val="Heading2"/>
      </w:pPr>
      <w:r>
        <w:t xml:space="preserve">11.3 Реєстрація та авторизація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Email/password, magic link, OAuth (Google, Apple, Facebook, LinkedIn)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2FA, біометрія на мобайлі (FaceID/TouchID/PIN)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Управління сесіями, відкликання токенів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SSO для B2B/EAP (SAML, OpenID Connect) [CA]</w:t>
      </w:r>
    </w:p>
    <w:p>
      <w:pPr>
        <w:pStyle w:val="Heading2"/>
      </w:pPr>
      <w:r>
        <w:t xml:space="preserve">11.4 Мобільна специфіка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Офлайн-доступ: grounding, safety plan, домашні завдання, щоденник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Background audio при згортанні додатка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Deep linking: push → потрібний Activity Hub / сесія / завдання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Biometric lock: обов'язкова аутентифікація при відкритті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Адаптивна якість відео, fallback на аудіо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Розмір додатка &lt;50 МБ; lazy-завантаження</w:t>
      </w:r>
    </w:p>
    <w:p>
      <w:pPr>
        <w:pStyle w:val="Heading1"/>
      </w:pPr>
      <w:r>
        <w:t xml:space="preserve">12. Marketplace</w:t>
      </w:r>
    </w:p>
    <w:p>
      <w:pPr>
        <w:pStyle w:val="Heading2"/>
      </w:pPr>
      <w:r>
        <w:t xml:space="preserve">12.1 Розділ «Спеціалісти»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Профіль, спеціалізації, методи, мови, ціни, слоти, запис, відгуки/верифікація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Рівні верифікації: Неперевірений → Документи подані → Підтверджений платформою. Бейдж у профілі.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KYC-процес: диплом/ліцензія, перевірка документів, підтвердження особи</w:t>
      </w:r>
    </w:p>
    <w:p>
      <w:pPr>
        <w:pStyle w:val="Heading2"/>
      </w:pPr>
      <w:r>
        <w:t xml:space="preserve">12.2 Розділ «Програми та марафони»</w:t>
      </w:r>
    </w:p>
    <w:p>
      <w:pPr>
        <w:spacing w:after="120"/>
      </w:pPr>
      <w:r>
        <w:rPr>
          <w:sz w:val="22"/>
          <w:szCs w:val="22"/>
        </w:rPr>
        <w:t xml:space="preserve">Пошук, фільтрація, порівняння, купівля доступу, участь через Activity Hub. Фільтри: тема, формат, тривалість, мова, ціна, дата старту, ведучий, рейтинг.</w:t>
      </w:r>
    </w:p>
    <w:p>
      <w:pPr>
        <w:pStyle w:val="Heading2"/>
      </w:pPr>
      <w:r>
        <w:t xml:space="preserve">12.3 Matching / рекомендації</w:t>
      </w:r>
      <w:r>
        <w:rPr>
          <w:b/>
          <w:bCs/>
          <w:color w:val="C0392B"/>
          <w:sz w:val="22"/>
          <w:szCs w:val="22"/>
        </w:rPr>
        <w:t xml:space="preserve"> [NEW]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Опитувальник при першому візиті: що турбує, преференції (стать, вік, мова, підхід)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Алгоритм ранжування: релевантність, рейтинг, доступність, мова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Smart-пропозиції на основі схожих Case (без розкриття даних)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Оптимізація time-to-first-session (&lt;48 годин) [CA]</w:t>
      </w:r>
    </w:p>
    <w:p>
      <w:pPr>
        <w:pStyle w:val="Heading2"/>
      </w:pPr>
      <w:r>
        <w:t xml:space="preserve">12.4 Пробна зустріч (trial)</w:t>
      </w:r>
    </w:p>
    <w:p>
      <w:pPr>
        <w:spacing w:after="120"/>
      </w:pPr>
      <w:r>
        <w:rPr>
          <w:sz w:val="22"/>
          <w:szCs w:val="22"/>
        </w:rPr>
        <w:t xml:space="preserve">15-20 хвилин відео, безкоштовно або за зниженою ціною. 1 trial на пару клієнт-спеціаліст, не більше 3 trial/тиждень. Конверсія: пропозиція повної сесії одним кліком.</w:t>
      </w:r>
    </w:p>
    <w:p>
      <w:pPr>
        <w:pStyle w:val="Heading2"/>
      </w:pPr>
      <w:r>
        <w:t xml:space="preserve">12.5 Peer support / спільнота клієнтів [CA]</w:t>
      </w:r>
      <w:r>
        <w:rPr>
          <w:b/>
          <w:bCs/>
          <w:color w:val="C0392B"/>
          <w:sz w:val="22"/>
          <w:szCs w:val="22"/>
        </w:rPr>
        <w:t xml:space="preserve"> [NEW]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Модеровані форуми з клінічною модерацією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Анонімний обмін досвідом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Групові обговорення за темами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Важливо: немодеровані форуми збільшують ризик нормалізації самоушкоджень [CA]</w:t>
      </w:r>
    </w:p>
    <w:p>
      <w:pPr>
        <w:pStyle w:val="Heading1"/>
      </w:pPr>
      <w:r>
        <w:t xml:space="preserve">13. Платежі та монетизація — повна модель</w:t>
      </w:r>
    </w:p>
    <w:p>
      <w:pPr>
        <w:spacing w:after="120"/>
      </w:pPr>
      <w:r>
        <w:rPr>
          <w:sz w:val="22"/>
          <w:szCs w:val="22"/>
        </w:rPr>
        <w:t xml:space="preserve">Платформа підтримує п'ять грошових ліній: Specialist → Platform (SaaS), Client → Platform (преміум), Client → Specialist (консультації/програми), Employer → Platform (B2B/EAP), Platform → Specialist (виплати, включаючи страхові).</w:t>
      </w:r>
    </w:p>
    <w:p>
      <w:pPr>
        <w:pStyle w:val="Heading2"/>
      </w:pPr>
      <w:r>
        <w:t xml:space="preserve">13.1 Ринковий контекст монетизації [CA]</w:t>
      </w:r>
      <w:r>
        <w:rPr>
          <w:b/>
          <w:bCs/>
          <w:color w:val="C0392B"/>
          <w:sz w:val="22"/>
          <w:szCs w:val="22"/>
        </w:rPr>
        <w:t xml:space="preserve"> [NEW]</w:t>
      </w:r>
    </w:p>
    <w:p>
      <w:pPr>
        <w:spacing w:after="120"/>
      </w:pPr>
      <w:r>
        <w:rPr>
          <w:sz w:val="22"/>
          <w:szCs w:val="22"/>
        </w:rPr>
        <w:t xml:space="preserve">Конкурентний аналіз виявив критичні патерни ринку: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Take-rates терапевтичних маркетплейсів: 25-70% (BetterHelp 50-70%, Headway 40-70%).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Задоволеність терапевтів компенсацією критично низька: 16% BetterHelp, 11% Talkspace.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Це створює чітку можливість для прозорішої та справедливішої економіки.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Сторона пропозиції зазвичай субсидується (Headway, Grow Therapy — безкоштовне приєднання).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Терапевти витрачають $400-$600/міс на фрагментовані софтверні стеки.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Ризик дезінтермедіації високий через relationship-based природу терапії.</w:t>
      </w:r>
    </w:p>
    <w:p>
      <w:pPr>
        <w:pStyle w:val="Heading2"/>
      </w:pPr>
      <w:r>
        <w:t xml:space="preserve">13.2 Рекомендована модель доходу [CA]</w:t>
      </w:r>
      <w:r>
        <w:rPr>
          <w:b/>
          <w:bCs/>
          <w:color w:val="C0392B"/>
          <w:sz w:val="22"/>
          <w:szCs w:val="22"/>
        </w:rPr>
        <w:t xml:space="preserve"> [NEW]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before="200" w:after="120"/>
      </w:pPr>
      <w:r>
        <w:rPr>
          <w:b/>
          <w:bCs/>
          <w:color w:val="1B4F72"/>
          <w:sz w:val="24"/>
          <w:szCs w:val="24"/>
        </w:rPr>
        <w:t xml:space="preserve">Потік 1: Specialist SaaS ($49-$99/міс)</w:t>
      </w:r>
    </w:p>
    <w:p>
      <w:pPr>
        <w:spacing w:after="120"/>
      </w:pPr>
      <w:r>
        <w:rPr>
          <w:sz w:val="22"/>
          <w:szCs w:val="22"/>
        </w:rPr>
        <w:t xml:space="preserve">Конкуренція з SimplePractice ($49-$99/міс + доповнення до $150+). Перевага: інтегрована платформа без додаткових оплат за кожен модуль.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4860"/>
        <w:gridCol w:w="2000"/>
      </w:tblGrid>
      <w:tr>
        <w:trPr>
          <w:tblHeader/>
        </w:trPr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Тариф</w:t>
            </w:r>
          </w:p>
        </w:tc>
        <w:tc>
          <w:tcPr>
            <w:tcW w:type="dxa" w:w="11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Ціна/міс</w:t>
            </w:r>
          </w:p>
        </w:tc>
        <w:tc>
          <w:tcPr>
            <w:tcW w:type="dxa" w:w="4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Включає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Цільова аудиторія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Starter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$49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EHR, розклад, нотатки (до 3 шаблонів), телездоров'я, до 15 активних Case, 5 ГБ сховища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Початківці, приватна практика &lt;15 клієнтів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$79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Все зі Starter + необмежені Case, всі шаблони нотаток, intake-форми, MBC, базовий AI (транскрипція), 20 ГБ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Активна приватна практика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Practice+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$99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Все з Professional + AI-генерація нотаток, страхові клейми, крос-сесійна аналітика, async-терапія, 50 ГБ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Повна практика зі страхуванням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Custom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Все з Practice+ + white-label, API, мульти-провайдер, SAML SSO, виділена підтримка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Клініки, організації</w:t>
            </w:r>
          </w:p>
        </w:tc>
      </w:tr>
    </w:tbl>
    <w:p>
      <w:pPr>
        <w:spacing w:before="200" w:after="120"/>
      </w:pPr>
      <w:r>
        <w:rPr>
          <w:b/>
          <w:bCs/>
          <w:color w:val="1B4F72"/>
          <w:sz w:val="24"/>
          <w:szCs w:val="24"/>
        </w:rPr>
        <w:t xml:space="preserve">Потік 2: Комісія маркетплейсу (15-25%)</w:t>
      </w:r>
    </w:p>
    <w:p>
      <w:pPr>
        <w:spacing w:after="120"/>
      </w:pPr>
      <w:r>
        <w:rPr>
          <w:sz w:val="22"/>
          <w:szCs w:val="22"/>
        </w:rPr>
        <w:t xml:space="preserve">Явно нижче конкурентів для створення конкурентної переваги.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 транзакції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Комісія платформи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Конкуренти</w:t>
            </w:r>
          </w:p>
        </w:tc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Обґрунтування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Нові клієнти через маркетплейс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20-25%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BetterHelp 50-70%, Headway 40-70%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Включає підбір, верифікацію, платіжну обробку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Повторні сесії існуючих клієнтів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10-15%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Ті ж ставки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Знижена ставка для утримання — анти-дезінтермедіація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Програми / марафони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10-15%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Kajabi 0%, Udemy 37%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Включає хостинг, відео, маркетинг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Страхові клейми (processing fee)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3-5% від відшкодування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Headway 40-70% markup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Лише обробка, не markup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Trial-сесії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Субсидія для конверсії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Ключовий принцип: дегресивна шкала. Чим більше сесій через платформу, тим нижча комісія. Це стимулює обсяг та знижує мотивацію до дезінтермедіації.</w:t>
      </w:r>
    </w:p>
    <w:p>
      <w:pPr>
        <w:spacing w:before="200" w:after="120"/>
      </w:pPr>
      <w:r>
        <w:rPr>
          <w:b/>
          <w:bCs/>
          <w:color w:val="1B4F72"/>
          <w:sz w:val="24"/>
          <w:szCs w:val="24"/>
        </w:rPr>
        <w:t xml:space="preserve">Потік 3: B2B/EAP контракти ($2-$8 PEPM)</w:t>
      </w:r>
    </w:p>
    <w:p>
      <w:pPr>
        <w:spacing w:after="120"/>
      </w:pPr>
      <w:r>
        <w:rPr>
          <w:sz w:val="22"/>
          <w:szCs w:val="22"/>
        </w:rPr>
        <w:t xml:space="preserve">Модель per-employee-per-month для роботодавців. Ринкові ціни EAP: $0,75-$25 PEPM залежно від комплексності.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3160"/>
        <w:gridCol w:w="2000"/>
      </w:tblGrid>
      <w:tr>
        <w:trPr>
          <w:tblHeader/>
        </w:trP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Пакет EAP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PEPM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Сесій/працівника</w:t>
            </w:r>
          </w:p>
        </w:tc>
        <w:tc>
          <w:tcPr>
            <w:tcW w:type="dxa" w:w="3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Включає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Цільова утилізація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Essential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$2-3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 сесії/рік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Базовий доступ, digital self-help, кризова лінія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5-10%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Standard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$4-6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 сесій/рік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Essential + MBC, outcome-звітність, групові програми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10-15%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Premium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$6-8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 сесій/рік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Standard + async-терапія, coaching, ROI-дашборд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15-25%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Outcomes-Based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Custom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Необмежені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Оплата лише за доведену ефективність. Гарантія ROI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20-30%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Outcomes-Based model (за моделлю Lyra Health): роботодавці платять лише за надану та доведено ефективну допомогу. ROI 3:1 — економія $4,138 на учасника [CA].</w:t>
      </w:r>
    </w:p>
    <w:p>
      <w:pPr>
        <w:spacing w:before="200" w:after="120"/>
      </w:pPr>
      <w:r>
        <w:rPr>
          <w:b/>
          <w:bCs/>
          <w:color w:val="1B4F72"/>
          <w:sz w:val="24"/>
          <w:szCs w:val="24"/>
        </w:rPr>
        <w:t xml:space="preserve">Потік 4: Преміум AI фічі ($35-$90/міс)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AI-модуль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Ціна/міс</w:t>
            </w:r>
          </w:p>
        </w:tc>
        <w:tc>
          <w:tcPr>
            <w:tcW w:type="dxa" w:w="5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Функціональність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 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$35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Автоматична транскрипція + генерація нотаток у SOAP/DAP/BIRP/GIRP (заощаджує 73% часу на документацію)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 Insights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$55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 Notes + крос-сесійне виявлення патернів + предиктивне флагування ризиків + AI-підготовка до сесій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 Practice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$90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 Insights + AI-matching клієнтів + аналітика практики + персоналізовані рекомендації інструментів для клієнтів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Позиціонування: AI як помічник спеціаліста, не заміна. Ринок чітко сигналізував: адміністративний AI прийнятний, терапевтичний AI стикається з регуляторними бар'єрами [CA]. 86,7% клініцистів більш ментально присутні з AI-документацією.</w:t>
      </w:r>
    </w:p>
    <w:p>
      <w:pPr>
        <w:spacing w:before="200" w:after="120"/>
      </w:pPr>
      <w:r>
        <w:rPr>
          <w:b/>
          <w:bCs/>
          <w:color w:val="1B4F72"/>
          <w:sz w:val="24"/>
          <w:szCs w:val="24"/>
        </w:rPr>
        <w:t xml:space="preserve">Потік 5: White-label та API-ліцензування ($10K-$100K)</w:t>
      </w:r>
    </w:p>
    <w:p>
      <w:pPr>
        <w:spacing w:after="120"/>
      </w:pPr>
      <w:r>
        <w:rPr>
          <w:sz w:val="22"/>
          <w:szCs w:val="22"/>
        </w:rPr>
        <w:t xml:space="preserve">White-label телездоров'я командує $40K-$60K upfront + поточні комісії. Потенційний потік доходу для медичних систем та великих організацій [CA].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API-доступ (GraphQL) для інтеграції з існуючими системами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Брендовані розгортання (white-label mobile + web)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Виділена інфраструктура та підтримка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Custom SLA та compliance пакети</w:t>
      </w:r>
    </w:p>
    <w:p>
      <w:pPr>
        <w:spacing w:before="200" w:after="120"/>
      </w:pPr>
      <w:r>
        <w:rPr>
          <w:b/>
          <w:bCs/>
          <w:color w:val="1B4F72"/>
          <w:sz w:val="24"/>
          <w:szCs w:val="24"/>
        </w:rPr>
        <w:t xml:space="preserve">Потік 6: Маркетплейс програм/контенту (10-15%)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Комісія 10-15% з продажу курсів, групових програм, марафонів, створених спеціалістами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Підтримка tiered access (Base/Plus/Premium)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Рассрочка, підписки, one-time purchase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Подарункові сертифікати</w:t>
      </w:r>
    </w:p>
    <w:p>
      <w:pPr>
        <w:pStyle w:val="Heading2"/>
      </w:pPr>
      <w:r>
        <w:t xml:space="preserve">13.3 Оплата клієнтами — повна матриця</w:t>
      </w:r>
      <w:r>
        <w:rPr>
          <w:b/>
          <w:bCs/>
          <w:color w:val="C0392B"/>
          <w:sz w:val="22"/>
          <w:szCs w:val="22"/>
        </w:rPr>
        <w:t xml:space="preserve">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Модель оплати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  <w:tc>
          <w:tcPr>
            <w:tcW w:type="dxa" w:w="3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Приклади використання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Pay-per-session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Разова оплата за сесію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Індивідуальні консультації без підписки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Subscription (async)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Щомісячна підписка за messaging-only доступ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Асинхронна терапія (базовий тариф)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Subscription + 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Підписка з включеними сесіями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Комбіновані плани (async + N live сесій/міс)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Package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Пакет сесій зі знижкою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5/10/20 сесій за зниженою ціною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Program/Marathon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Разова або поетапна оплата за програму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Марафони, когортні курси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Tiered access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Base/Plus/Premium рівні програми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Різний рівень підтримки/контенту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Insurance copay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Copay після верифікації страховки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Сесії, покриті страхуванням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EAP (employer-funded)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Безкоштовно для працівника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Корпоративні контракти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Gift certificates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Подарункові сертифікати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Купівля сесій/програм у подарунок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Installments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Розстрочка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Програми з високою вартістю</w:t>
            </w:r>
          </w:p>
        </w:tc>
      </w:tr>
    </w:tbl>
    <w:p>
      <w:pPr>
        <w:pStyle w:val="Heading2"/>
      </w:pPr>
      <w:r>
        <w:t xml:space="preserve">13.4 Виплати спеціалістам</w:t>
      </w:r>
      <w:r>
        <w:rPr>
          <w:b/>
          <w:bCs/>
          <w:color w:val="C0392B"/>
          <w:sz w:val="22"/>
          <w:szCs w:val="22"/>
        </w:rPr>
        <w:t xml:space="preserve"> [NEW]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Щотижневі автоматичні виплати (четвер — стандарт, daily — преміум)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Прозора структура: звіт по кожній транзакції з деталізацією комісій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Гарантована оплата для страхових клеймів (спеціаліст отримує оплату незалежно від статусу клейму — опція для Practice+)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Мультивалютні виплати для міжнародних спеціалістів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Податкова звітність (1099 для США, аналоги для інших юрисдикцій)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Stripe Connect / Adyen для обробки платежів</w:t>
      </w:r>
    </w:p>
    <w:p>
      <w:pPr>
        <w:pStyle w:val="Heading2"/>
      </w:pPr>
      <w:r>
        <w:t xml:space="preserve">13.5 Стратегії проти дезінтермедіації [CA]</w:t>
      </w:r>
      <w:r>
        <w:rPr>
          <w:b/>
          <w:bCs/>
          <w:color w:val="C0392B"/>
          <w:sz w:val="22"/>
          <w:szCs w:val="22"/>
        </w:rPr>
        <w:t xml:space="preserve"> [NEW]</w:t>
      </w:r>
    </w:p>
    <w:p>
      <w:pPr>
        <w:spacing w:after="120"/>
      </w:pPr>
      <w:r>
        <w:rPr>
          <w:sz w:val="22"/>
          <w:szCs w:val="22"/>
        </w:rPr>
        <w:t xml:space="preserve">Терапія — високовартісна, рекурентна, relationship-based послуга. Ризик дезінтермедіації виключно високий.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Страховий білінг як якір: спеціаліст не може обробляти клейми поза платформою.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Гарантована оплата: усуває ризик несплати / відмови клейму.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Дегресивна комісія: чим більше обсяг, тим нижча ставка.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Послуги з доданою вартістю: EHR, AI-нотатки, MBC, розклад, CE кредити.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Портативність нотаток: дані легко експортуються (зменшує lock-in anxiety).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Реферальна мережа: нові клієнти приходять через платформу.</w:t>
      </w:r>
    </w:p>
    <w:p>
      <w:pPr>
        <w:pStyle w:val="Heading2"/>
      </w:pPr>
      <w:r>
        <w:t xml:space="preserve">13.6 Політика відмін та no-show</w:t>
      </w:r>
      <w:r>
        <w:rPr>
          <w:b/>
          <w:bCs/>
          <w:color w:val="C0392B"/>
          <w:sz w:val="22"/>
          <w:szCs w:val="22"/>
        </w:rPr>
        <w:t xml:space="preserve"> [NEW]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Безкоштовна відміна: за N годин до сесії (спеціаліст настроює: 24/48/72 години).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Пізня відміна: штраф (% від вартості), автоматичне списання.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No-show клієнта: повна оплата спеціалісту. Push після 5 хвилин очікування.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No-show спеціаліста: повне повернення клієнту + компенсація + флаг у профілі.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Recurring billing: автоматична оплата наступної сесії для recurring-клієнтів.</w:t>
      </w:r>
    </w:p>
    <w:p>
      <w:pPr>
        <w:pStyle w:val="Heading2"/>
      </w:pPr>
      <w:r>
        <w:t xml:space="preserve">13.7 Юніт-економіка та цільові метрики [CA]</w:t>
      </w:r>
      <w:r>
        <w:rPr>
          <w:b/>
          <w:bCs/>
          <w:color w:val="C0392B"/>
          <w:sz w:val="22"/>
          <w:szCs w:val="22"/>
        </w:rPr>
        <w:t xml:space="preserve">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Цільове значення</w:t>
            </w:r>
          </w:p>
        </w:tc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Benchmark ринку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Take-rate (середній)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15-20%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BetterHelp 50-70%, Headway 40-70%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MRR per specialist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$150-250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SimplePractice $49-$99 SaaS only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LTV specialist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$3,600-$6,000 (2-3 роки)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SimplePractice ~$2,000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CAC specialist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&lt;$200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Headway ~$100 (субсидований)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LTV/CAC ratio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&gt;10x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Стандарт SaaS: &gt;3x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Churn specialist (monthly)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&lt;3%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SimplePractice ~2-4%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B2B ARPC (avg rev per contract)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$50K-$200K/рік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Lyra/Spring Health: $100K+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70-80%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SaaS benchmark: 75%+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Утилізація EAP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15-25%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Традиційні EAP: 3-5%</w:t>
            </w:r>
          </w:p>
        </w:tc>
      </w:tr>
    </w:tbl>
    <w:p>
      <w:pPr>
        <w:pStyle w:val="Heading1"/>
      </w:pPr>
      <w:r>
        <w:t xml:space="preserve">14. Безпека, комплаєнс та довіра</w:t>
      </w:r>
    </w:p>
    <w:p>
      <w:pPr>
        <w:pStyle w:val="Heading2"/>
      </w:pPr>
      <w:r>
        <w:t xml:space="preserve">14.1 Базові вимоги безпеки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RBAC/ABAC на рівні об'єктів (Case/Program/Activity/Files)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Незмінний аудит: хто/коли/що дивився/змінював/експортував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Версійність карток, нотаток, планів, документів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Шифрування в транзиті (TLS 1.3) та на зберіганні (AES-256)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Ізоляція даних між спеціалістами/організаціями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Consent-engine як «перший клас»: AI, запис, передача кейсу, підключення додатків, wearables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Break-glass доступ для підтримки тільки за процедурою та логуванням</w:t>
      </w:r>
    </w:p>
    <w:p>
      <w:pPr>
        <w:pStyle w:val="Heading2"/>
      </w:pPr>
      <w:r>
        <w:t xml:space="preserve">14.2 Кризовий контур</w:t>
      </w:r>
      <w:r>
        <w:rPr>
          <w:b/>
          <w:bCs/>
          <w:color w:val="C0392B"/>
          <w:sz w:val="22"/>
          <w:szCs w:val="22"/>
        </w:rPr>
        <w:t xml:space="preserve"> [NEW]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Кнопка SOS / Crisis: завжди доступна. При натисканні — локальна гаряча лінія + базові інструкції.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Safety plan: вбудований шаблон (модель Stanley-Brown), доступний офлайн [CA].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High risk маркер: окрема логіка нагадувань (чек-ін через 24/48/72 години).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Автоматичний скринінг мови високого ризику в повідомленнях [CA].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Локалізація кризових ресурсів: база гарячих ліній по країнах.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Ескалація: повідомлення Organization Admin, протокольовані дії.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Юрисдикційно-чутливий workflow обов'язку попередження (Tarasoff): 29 штатів — обов'язковий, 17 — дозвільний, 4 — не визнають [CA].</w:t>
      </w:r>
    </w:p>
    <w:p>
      <w:pPr>
        <w:pStyle w:val="Heading2"/>
      </w:pPr>
      <w:r>
        <w:t xml:space="preserve">14.3 Юридичний комплаєнс за юрисдикціями [CA]</w:t>
      </w:r>
      <w:r>
        <w:rPr>
          <w:b/>
          <w:bCs/>
          <w:color w:val="C0392B"/>
          <w:sz w:val="22"/>
          <w:szCs w:val="22"/>
        </w:rPr>
        <w:t xml:space="preserve">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Регіон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Регуляція</w:t>
            </w:r>
          </w:p>
        </w:tc>
        <w:tc>
          <w:tcPr>
            <w:tcW w:type="dxa" w:w="4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Вплив на продукт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ЄС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GDPR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Consent engine, data portability, DPO, право на видалення, повідомлення про breach за 72ч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США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HIPAA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Шифрування, BAA з провайдерами, audit trail, мінімум 6 років зберігання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США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42 CFR Part 2 (дедлайн 16.02.2026)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Сегрегація нотаток SUD counseling, єдина згода для лікування/оплати/операцій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США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Психотерапевтичні нотатки (HIPAA)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Окреме зберігання, спеціальна авторизація, пацієнти не мають права доступу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Каліфорнія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CCPA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Права споживача на дані, opt-out продажу даних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Канада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PIPEDA + PHIPA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Локалізація даних у Канаді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Австралія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Privacy Act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Заборона трансферу медичних даних за кордон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Україна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ЗУ про захист перс. даних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Згода, обробка, передача за кордон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ЄС/UK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GDPR / UK GDPR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Аналог ЄС з локальними особливостями</w:t>
            </w:r>
          </w:p>
        </w:tc>
      </w:tr>
    </w:tbl>
    <w:p>
      <w:pPr>
        <w:pStyle w:val="Heading2"/>
      </w:pPr>
      <w:r>
        <w:t xml:space="preserve">14.4 Workflow згоди для неповнолітніх [CA]</w:t>
      </w:r>
      <w:r>
        <w:rPr>
          <w:b/>
          <w:bCs/>
          <w:color w:val="C0392B"/>
          <w:sz w:val="22"/>
          <w:szCs w:val="22"/>
        </w:rPr>
        <w:t xml:space="preserve"> [NEW]</w:t>
      </w:r>
    </w:p>
    <w:p>
      <w:pPr>
        <w:spacing w:after="120"/>
      </w:pPr>
      <w:r>
        <w:rPr>
          <w:sz w:val="22"/>
          <w:szCs w:val="22"/>
        </w:rPr>
        <w:t xml:space="preserve">Вік згоди варіюється від 12 (Каліфорнія) до 18 між штатами. Платформа підтримує: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Юрисдикційно-чутливий механізм workflow згоди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Батьківський контроль з налаштованим рівнем видимості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COPPA комплаєнс для користувачів до 13 років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Окремі правила конфіденційності для підлітків</w:t>
      </w:r>
    </w:p>
    <w:p>
      <w:pPr>
        <w:pStyle w:val="Heading2"/>
      </w:pPr>
      <w:r>
        <w:t xml:space="preserve">14.5 Data Residency [CA]</w:t>
      </w:r>
      <w:r>
        <w:rPr>
          <w:b/>
          <w:bCs/>
          <w:color w:val="C0392B"/>
          <w:sz w:val="22"/>
          <w:szCs w:val="22"/>
        </w:rPr>
        <w:t xml:space="preserve"> [NEW]</w:t>
      </w:r>
    </w:p>
    <w:p>
      <w:pPr>
        <w:spacing w:after="120"/>
      </w:pPr>
      <w:r>
        <w:rPr>
          <w:sz w:val="22"/>
          <w:szCs w:val="22"/>
        </w:rPr>
        <w:t xml:space="preserve">Міжнародна експансія вимагає мультирегіонального розгортання даних.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Вибір регіону зберігання при реєстрації організації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Підтримка: ЄС, Канада, Австралія, США (мінімум)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Настроювані retention-політики per jurisdiction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Шаблони згод per jurisdiction</w:t>
      </w:r>
    </w:p>
    <w:p>
      <w:pPr>
        <w:pStyle w:val="Heading1"/>
      </w:pPr>
      <w:r>
        <w:t xml:space="preserve">15. AI (privacy-first)</w:t>
      </w:r>
    </w:p>
    <w:p>
      <w:pPr>
        <w:spacing w:after="120"/>
      </w:pPr>
      <w:r>
        <w:rPr>
          <w:sz w:val="22"/>
          <w:szCs w:val="22"/>
        </w:rPr>
        <w:t xml:space="preserve">AI має обслуговувати спеціаліста, а не замінювати його. Ринок сигналізував: адміністративний AI прийнятний, терапевтичний AI стикається з бар'єрами [CA].</w:t>
      </w:r>
    </w:p>
    <w:p>
      <w:pPr>
        <w:pStyle w:val="Heading2"/>
      </w:pPr>
      <w:r>
        <w:t xml:space="preserve">15.1 Функції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Транскрипція з таймкодами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Генерація структурованих клінічних нотаток (SOAP/DAP/BIRP/GIRP) з транскриптів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Виділення завдань/домашок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Семантичний пошук по історії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Крос-сесійне виявлення патернів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Предиктивне флагування ризиків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AI-підготовка до сесій (за моделлю Talkspace Insights)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Субтитри в реальному часі (accessibility)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Персоналізовані рекомендації інструментів для клієнтів [CA]</w:t>
      </w:r>
    </w:p>
    <w:p>
      <w:pPr>
        <w:pStyle w:val="Heading2"/>
      </w:pPr>
      <w:r>
        <w:t xml:space="preserve">15.2 Правила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Тільки за згодою, подвійна згода для ambient listening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Різні режими зберігання (не зберігати аудіо / зберігати текст / видаляти за строками)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Результати AI — чернетки, що підтверджуються спеціалістом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Явне позиціонування як доповнення, не заміна терапевтичних відносин [CA]</w:t>
      </w:r>
    </w:p>
    <w:p>
      <w:pPr>
        <w:pStyle w:val="Heading2"/>
      </w:pPr>
      <w:r>
        <w:t xml:space="preserve">15.3 Мультимовність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Підтримка: EN, UK, RU, DE, FR, ES, PT, PL з автоматичним визначенням мови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Code-switching: обробка перемикання мов всередині сесії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Мова інтерфейсу ≠ мова сесії</w:t>
      </w:r>
    </w:p>
    <w:p>
      <w:pPr>
        <w:pStyle w:val="Heading1"/>
      </w:pPr>
      <w:r>
        <w:t xml:space="preserve">16. Розклад та календар</w:t>
      </w:r>
    </w:p>
    <w:p>
      <w:pPr>
        <w:pStyle w:val="Heading2"/>
      </w:pPr>
      <w:r>
        <w:t xml:space="preserve">16.1 Синхронізація з зовнішніми календарями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Google Calendar, Apple Calendar, Outlook через CalDAV / 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Двостороння: імпорт зайнятості + експорт сесій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Конфлікт-резолюція: автоматичне закриття слотів</w:t>
      </w:r>
    </w:p>
    <w:p>
      <w:pPr>
        <w:pStyle w:val="Heading2"/>
      </w:pPr>
      <w:r>
        <w:t xml:space="preserve">16.2 Управління слотами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Buffer time: 10-15 хв між сесіями (критично для допоміжних професій)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Recurring sessions: автоматичне створення серій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Гібридний розклад in-person + virtual з єдиним календарем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Waitlist для популярних спеціалістів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Booking window: min/max днів для запису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Instant booking vs. confirmation</w:t>
      </w:r>
    </w:p>
    <w:p>
      <w:pPr>
        <w:pStyle w:val="Heading2"/>
      </w:pPr>
      <w:r>
        <w:t xml:space="preserve">16.3 Таймзони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Зберігання в UTC з локальним відображенням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Показ часу обох учасників при записі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Коректна робота recurring-слотів при переході на літній/зимовий час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У групових форматах: «у вашому часовому поясі» поряд з кожним часом</w:t>
      </w:r>
    </w:p>
    <w:p>
      <w:pPr>
        <w:pStyle w:val="Heading1"/>
      </w:pPr>
      <w:r>
        <w:t xml:space="preserve">17. Мультимовність та локалізація (i18n/L10n)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Всі стрічки UI через i18n-ключі (react-intl / next-intl / i18next)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RTL-підтримка (CSS logical properties)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Плюралізація (ICU MessageFormat)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Локальні формати (дати, час, валюта) через Intl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UI готовий до розширення тексту на 30-40%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Мультимовні шаблони, маркетплейс, нотифікації, юридичні тексти</w:t>
      </w:r>
    </w:p>
    <w:p>
      <w:pPr>
        <w:spacing w:after="120"/>
      </w:pPr>
      <w:r>
        <w:rPr>
          <w:sz w:val="22"/>
          <w:szCs w:val="22"/>
        </w:rPr>
        <w:t xml:space="preserve">Стратегія запуску: MVP — EN + UK; Фаза 2 — DE, PL, ES; далі — за аналітикою.</w:t>
      </w:r>
    </w:p>
    <w:p>
      <w:pPr>
        <w:pStyle w:val="Heading1"/>
      </w:pPr>
      <w:r>
        <w:t xml:space="preserve">18. Доступність (Accessibility)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WCAG 2.1 AA як мінімальний стандарт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Повна клавіатурна навігація включно з Session Workspace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Screen reader сумісність (ARIA, семантична розмітка, focus management)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Контрастність та розмір тексту за WCAG AA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Reduced motion (prefers-reduced-motion)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Субтитри в реальному часі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Масштабований текст до 200%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Color-blind safe палітра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Trauma-informed та neurodiversity-friendly дизайн за принципами SAMHSA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Культурно-адаптовані елементи (BIPOC-пацієнти до 5x частіше передчасно припиняють терапію)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Accessibility-тестування в CI/CD (axe-core, Lighthouse)</w:t>
      </w:r>
    </w:p>
    <w:p>
      <w:pPr>
        <w:pStyle w:val="Heading1"/>
      </w:pPr>
      <w:r>
        <w:t xml:space="preserve">19. Аналітика та дашборди</w:t>
      </w:r>
    </w:p>
    <w:p>
      <w:pPr>
        <w:pStyle w:val="Heading2"/>
      </w:pPr>
      <w:r>
        <w:t xml:space="preserve">19.1 Дашборд спеціаліста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Кількість сесій, retention клієнтів, дохід, no-show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Загруженість слотів (управління навантаженням, запобігання вигорянню)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Метрики програм: воронка, залученість, доходимість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MBC-трекінг: outcome metrics по Case [CA]</w:t>
      </w:r>
    </w:p>
    <w:p>
      <w:pPr>
        <w:pStyle w:val="Heading2"/>
      </w:pPr>
      <w:r>
        <w:t xml:space="preserve">19.2 Дашборд організації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Агрегована статистика (без доступу до даних клієнтів!)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Фінансові звіти, розподіл навантаження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Compliance metrics, benchmarking</w:t>
      </w:r>
    </w:p>
    <w:p>
      <w:pPr>
        <w:pStyle w:val="Heading2"/>
      </w:pPr>
      <w:r>
        <w:t xml:space="preserve">19.3 Дашборд B2B/EAP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Утилізація, outcome metrics (PHQ-9/GAD-7 агреговано)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ROI калькулятор у реальному часі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Час до першої сесії, CSAT/NPS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Порівняння з галузевими benchmarks</w:t>
      </w:r>
    </w:p>
    <w:p>
      <w:pPr>
        <w:pStyle w:val="Heading2"/>
      </w:pPr>
      <w:r>
        <w:t xml:space="preserve">19.4 Аналітика платформи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GMV, MRR, churn rate, LTV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Конверсія маркетплейсу, якість сервісу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Технічні метрики: uptime, latency, error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Регіональна аналітика</w:t>
      </w:r>
    </w:p>
    <w:p>
      <w:pPr>
        <w:pStyle w:val="Heading1"/>
      </w:pPr>
      <w:r>
        <w:t xml:space="preserve">20. UX-принципи та Design System</w:t>
      </w:r>
    </w:p>
    <w:p>
      <w:pPr>
        <w:pStyle w:val="Heading2"/>
      </w:pPr>
      <w:r>
        <w:t xml:space="preserve">20.1 Принципи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Safety first: спокійні кольори, м'які переходи, відсутність агресивних елементів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Cognitive load management: progressive disclosure, згортання зон за замовч.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Context-appropriate: різний тон для клієнта (теплий) та спеціаліста (ефективний)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Forgiveness: undo для критичних дій, підтвердження деструктивних операцій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Оптимізація time-to-first-session (&lt;48 годин від реєстрації)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«Спочатку дай цінність» — experiential moment перед реєстрацією [CA]</w:t>
      </w:r>
    </w:p>
    <w:p>
      <w:pPr>
        <w:pStyle w:val="Heading2"/>
      </w:pPr>
      <w:r>
        <w:t xml:space="preserve">20.2 Design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Figma-бібліотека: кольори, типографія, компоненти, патерни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Палітра з урахуванням психології кольору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Dark/Light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Responsive: повноцінна робота на планшетах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Customizable layout Session Workspace</w:t>
      </w:r>
    </w:p>
    <w:p>
      <w:pPr>
        <w:pStyle w:val="Heading1"/>
      </w:pPr>
      <w:r>
        <w:t xml:space="preserve">21. Онбординг та UX-супровід</w:t>
      </w:r>
    </w:p>
    <w:p>
      <w:pPr>
        <w:pStyle w:val="Heading2"/>
      </w:pPr>
      <w:r>
        <w:t xml:space="preserve">21.1 Онбординг спеціаліста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Wizard: профіль → спеціалізація → слоти → платіжна система → перший клієнт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Інтерактивна демо-сесія (sandbox)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Progressive disclosure: показ функцій по мірі зростання активності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Checklist готовності до першої сесії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Відео-туторіали (60-90 сек)</w:t>
      </w:r>
    </w:p>
    <w:p>
      <w:pPr>
        <w:pStyle w:val="Heading2"/>
      </w:pPr>
      <w:r>
        <w:t xml:space="preserve">21.2 Онбординг клієнта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Мінімалістичний вхід: ім'я, email, згода, підтвердження (3-4 кроки)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Matching-опитувальник (15-20 хвилин flow) для оптимізації підбору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Contextual onboarding: підказки при першому контакті з функцією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Pre-session check за 5 хвилин до першої сесії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Тепле привітання від платформи</w:t>
      </w:r>
    </w:p>
    <w:p>
      <w:pPr>
        <w:pStyle w:val="Heading2"/>
      </w:pPr>
      <w:r>
        <w:t xml:space="preserve">21.3 Feature Discovery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In-app changelog, contextual tooltips, What's new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Feature flags для поетапного включення функцій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Налаштування підказок (вкл./вимк.)</w:t>
      </w:r>
    </w:p>
    <w:p>
      <w:pPr>
        <w:pStyle w:val="Heading1"/>
      </w:pPr>
      <w:r>
        <w:t xml:space="preserve">22. Масштабування та архітектура модулів</w:t>
      </w:r>
    </w:p>
    <w:p>
      <w:pPr>
        <w:pStyle w:val="Heading2"/>
      </w:pPr>
      <w:r>
        <w:t xml:space="preserve">22.1 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Identity &amp;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Case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Program/Activity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Consent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Audit &amp; Versioning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Session Engine (realtime/video)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Payments &amp; Billing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Insurance Claims Engine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Messaging 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Content/Files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Notification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i18n/L10n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Scheduling &amp; Calendar Engine</w:t>
      </w:r>
    </w:p>
    <w:p>
      <w:pPr>
        <w:pStyle w:val="Heading2"/>
      </w:pPr>
      <w:r>
        <w:t xml:space="preserve">22.2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Marketplace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Grounding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Progress/Gamification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Knowledge Base &amp; Templates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Add-on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MBC / Outcome Tracking Engine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B2B/EAP Module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Between-Session Tools Engine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Wearables &amp; External Apps (SDK)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Onboarding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Analytics &amp; Reporting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Crisis Protocol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E-Prescribing Module (optional)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Credentialing Module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Peer Consultation Module [CA]</w:t>
      </w:r>
    </w:p>
    <w:p>
      <w:pPr>
        <w:pStyle w:val="Heading2"/>
      </w:pPr>
      <w:r>
        <w:t xml:space="preserve">22.3 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Web (Client Portal + Specialist Portal + Org Admin + EAP Manager + Platform 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Mobile (Client + Specialist)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Design System (UI-kit, компоненти, токени, accessibility guidelines)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White-label SDK [CA]</w:t>
      </w:r>
    </w:p>
    <w:p>
      <w:pPr>
        <w:pStyle w:val="Heading1"/>
      </w:pPr>
      <w:r>
        <w:t xml:space="preserve">23. User Stories (ключові сценарії)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3400"/>
      </w:tblGrid>
      <w:tr>
        <w:trPr>
          <w:tblHeader/>
        </w:trPr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4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Що валідує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Клієнт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Я отримую нагадування і одним кліком підключаюся до сесії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UX підключення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Клієнт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Я бачу домашнє завдання з дедлайном після сесії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Post-session флоу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Клієнт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Я хочу передати свій Case іншому спеціалісту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Case transfer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Клієнт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Мені погано, мені потрібна допомога прямо зараз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Кризовий контур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Клієнт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Я виконую CBT thought record між сесіями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Between-session tools [CA]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Клієнт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Я бачу свій прогрес PHQ-9 за 3 місяці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MBC [CA]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Спеціаліст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Я швидко заповнюю SOAP-нотатки з AI-чернеткою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 clinical notes [CA]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Спеціаліст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Я подаю страховий клейм після сесії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Insurance workflow [CA]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Спеціаліст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Я призначаю клієнту DBT diary card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Between-session tools [CA]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Спеціаліст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Я бачу крос-сесійні патерни клієнта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 insights [CA]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Спеціаліст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Я проводжу async-терапію через messaging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Async therapy [CA]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Спеціаліст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Я створюю програму та запрошую учасників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Program creation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Супервізор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Я переглядаю Case з дозволу клієнта/спеціаліста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Consent + supervision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Org 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Я бачу агреговані метрики без даних клієнтів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Privacy + analytics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EAP Manager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Я бачу ROI та утилізацію нашого контракту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B2B reporting [CA]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EAP Manager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Я завантажую список eligible працівників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EAP management [CA]</w:t>
            </w:r>
          </w:p>
        </w:tc>
      </w:tr>
    </w:tbl>
    <w:p>
      <w:pPr>
        <w:pStyle w:val="Heading1"/>
      </w:pPr>
      <w:r>
        <w:t xml:space="preserve">24. Рекомендоване фазування розробки</w:t>
      </w:r>
    </w:p>
    <w:p>
      <w:pPr>
        <w:pStyle w:val="Heading2"/>
      </w:pPr>
      <w:r>
        <w:t xml:space="preserve">Фаза 1 — MVP (6-9 місяців)</w:t>
      </w:r>
      <w:r>
        <w:rPr>
          <w:b/>
          <w:bCs/>
          <w:color w:val="C0392B"/>
          <w:sz w:val="22"/>
          <w:szCs w:val="22"/>
        </w:rPr>
        <w:t xml:space="preserve"> [NEW]</w:t>
      </w:r>
    </w:p>
    <w:p>
      <w:pPr>
        <w:spacing w:after="120"/>
      </w:pPr>
      <w:r>
        <w:rPr>
          <w:sz w:val="22"/>
          <w:szCs w:val="22"/>
        </w:rPr>
        <w:t xml:space="preserve">Ядро платформи з фокусом на індивідуальну практику: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Case Engine, Session Workspace (відео + чат + файли)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Шаблони клінічних нотаток (SOAP, DAP, BIRP, GIRP)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Intake-форми з е-підписами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Розклад з buffer time та recurring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Базовий маркетплейс спеціалістів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Платежі (pay-per-session + packages)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Онбординг (wizard спеціаліста + мінімалістичний клієнт)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Кризовий протокол (SOS кнопка, safety plan)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i18n архітектура (EN + UK)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WCAG 2.1 AA, базова мобільна версія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Consent Engine, аудит, HIPAA/GDPR архітектура</w:t>
      </w:r>
    </w:p>
    <w:p>
      <w:pPr>
        <w:pStyle w:val="Heading2"/>
      </w:pPr>
      <w:r>
        <w:t xml:space="preserve">Фаза 2 — Повна практика (3-6 місяців)</w:t>
      </w:r>
      <w:r>
        <w:rPr>
          <w:b/>
          <w:bCs/>
          <w:color w:val="C0392B"/>
          <w:sz w:val="22"/>
          <w:szCs w:val="22"/>
        </w:rPr>
        <w:t xml:space="preserve"> [NEW]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Страховий білінг: 837P, ERA/835, eligibility verification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AI-транскрипція + генерація нотаток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MBC (PHQ-9, GAD-7, автооцінка)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Program/Group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Activity Hub, гейміфікація («Шлях героя»)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Async-терапія (messaging-only)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Терапевтичні інструменти між сесіями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Верифікація локації пацієнта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Аналітика спеціаліста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Мобільні додатки (повна версія)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Matching / рекомендації</w:t>
      </w:r>
    </w:p>
    <w:p>
      <w:pPr>
        <w:pStyle w:val="Heading2"/>
      </w:pPr>
      <w:r>
        <w:t xml:space="preserve">Фаза 3 — Масштабування (3-6 місяців)</w:t>
      </w:r>
      <w:r>
        <w:rPr>
          <w:b/>
          <w:bCs/>
          <w:color w:val="C0392B"/>
          <w:sz w:val="22"/>
          <w:szCs w:val="22"/>
        </w:rPr>
        <w:t xml:space="preserve"> [NEW]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B2B/EAP модуль з outcome-based pricing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Крединшнелінг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White-label / API-ліцензування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Маркетплейс програм/марафонів (повний)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Peer consultation та CE кредити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Інтеграція Interstate Compacts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 Residency (ЄС, Канада, Австралія)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Додаткові мови (DE, PL, ES)</w:t>
      </w:r>
    </w:p>
    <w:p>
      <w:pPr>
        <w:pStyle w:val="Heading2"/>
      </w:pPr>
      <w:r>
        <w:t xml:space="preserve">Фаза 4 — Екосистема (ongoing)</w:t>
      </w:r>
      <w:r>
        <w:rPr>
          <w:b/>
          <w:bCs/>
          <w:color w:val="C0392B"/>
          <w:sz w:val="22"/>
          <w:szCs w:val="22"/>
        </w:rPr>
        <w:t xml:space="preserve"> [NEW]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Insights (крос-сесійні патерни, предиктивне флагування)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Інтеграція з носимими пристроями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Е-рецепти (опціонально)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Peer support спільнота клієнтів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Alter-ego додаток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42 CFR Part 2 compliance [CA]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Когортні курси з крапельним контентом [CA]</w:t>
      </w:r>
    </w:p>
    <w:p>
      <w:pPr>
        <w:pStyle w:val="Heading1"/>
      </w:pPr>
      <w:r>
        <w:t xml:space="preserve">25. Стратегічний висновок</w:t>
      </w:r>
    </w:p>
    <w:p>
      <w:pPr>
        <w:spacing w:after="120"/>
      </w:pPr>
      <w:r>
        <w:rPr>
          <w:sz w:val="22"/>
          <w:szCs w:val="22"/>
        </w:rPr>
        <w:t xml:space="preserve">Візія «операційної системи» для терапевтичної онлайн-практики є життєздатною саме тому, що жоден конкурент не покриває весь стек. SimplePractice не має маркетплейсу. BetterHelp не має управління практикою. Lyra та Spring Health — закриті екосистеми. Circle та Mighty Networks мають нульовий клінічний комплаєнс.</w:t>
      </w:r>
    </w:p>
    <w:p>
      <w:pPr>
        <w:spacing w:after="120"/>
      </w:pPr>
      <w:r>
        <w:rPr>
          <w:sz w:val="22"/>
          <w:szCs w:val="22"/>
        </w:rPr>
        <w:t xml:space="preserve">Три стратегічні принципи: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1. Страховий білінг — гравітаційний центр. </w:t>
      </w:r>
      <w:r>
        <w:rPr>
          <w:sz w:val="22"/>
          <w:szCs w:val="22"/>
        </w:rPr>
        <w:t xml:space="preserve">Інвестиція у надійний claims workflow розблоковує каскадну цінність: пропозиція маркетплейсу, B2B-дохід, утримання спеціалістів, outcomes-based pricing.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2. AI обслуговує спеціаліста, не замінює його. </w:t>
      </w:r>
      <w:r>
        <w:rPr>
          <w:sz w:val="22"/>
          <w:szCs w:val="22"/>
        </w:rPr>
        <w:t xml:space="preserve">Адміністративний AI (документація, білінг) прийнятний. Терапевтичний AI стикається з регуляторними бар'єрами. Позиціонування: AI як доповнення терапевтичних відносин.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3. Чотири інтеграційні шари створюють compound value: </w:t>
      </w:r>
      <w:r>
        <w:rPr>
          <w:sz w:val="22"/>
          <w:szCs w:val="22"/>
        </w:rPr>
        <w:t xml:space="preserve">клінічна документація ↔ білінг ↔ вимірювання результатів ↔ інструменти залучення. Коли нотатки автоматично генерують клейми, оновлюють outcome tracking, тригерять міжсесійні завдання та інформують AI-matching — це мотт операційної системи, який жодне точкове рішення не може повторити.</w:t>
      </w:r>
    </w:p>
    <w:p>
      <w:pPr>
        <w:spacing w:after="120"/>
      </w:pPr>
      <w:r>
        <w:rPr>
          <w:sz w:val="22"/>
          <w:szCs w:val="22"/>
        </w:rPr>
        <w:t xml:space="preserve">Вікно для запуску модульної комплексної платформи звужується. Ринок консолідується: 104 M&amp;A угоди у 2024-2025, Spring Health придбав Alma, 71% угод — venture-to-venture. Час діяти.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ТЗ v3.0 | Лютий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471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2026-02-09T22:12:40.665Z</dcterms:created>
  <dcterms:modified xsi:type="dcterms:W3CDTF">2026-02-09T22:12:40.666Z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