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999999" w:sz="8" w:space="6"/>
        </w:pBdr>
        <w:spacing w:after="160" w:before="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32"/>
          <w:szCs w:val="32"/>
        </w:rPr>
        <w:t xml:space="preserve">РПД «Основы проектной деятельности» (1 курс) на 2027 год: черновик предложений</w:t>
      </w: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Документ для составителя РПД (Ю. А. Новикова) от преподавателя курса (Д. А. Попов). Версия 0.1 от 17.10.2026, черновик. Это предложения с готовыми формулировками для таблиц РПД, а не сама РПД: макет, титул и лист согласования остаются за составителем.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Исходное допущение.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Дисциплина «Основы проектной деятельности» (ОПД) читается на 1 курсе. Поэтому предлагается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одна обобщённая программа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. В её основе — РПД ОПДВП 2026 года, она устроена лучше. Из РПД ОПД 2025 года взяты темы, которых в ОПДВП нет: дерево проблем и дерево целей, PEST и SWOT, социальное проектирование и НКО, гранты и экспертиза проектов. Перенос ОПД на 1 курс решает учебный план, а не автор РПД (раздел 12).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Опора.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Предложения проверены на практике осеннего семестра 2026 года (группы м631к и м531, 17 занятий). Содержание построено так: логика и разделы — по PMBOK 8 (2025), инструменты и шаги — по процессной логике PMBOK 6. Правила —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A1A1A"/>
          <w:sz w:val="20"/>
          <w:szCs w:val="20"/>
        </w:rPr>
        <w:t xml:space="preserve">docs/metodichka/PRAVILA_KONTENTA.md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.</w:t>
      </w: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Пометка «[уточнить: …]» стоит там, где нужны данные, которых у нас нет. Выдумывать их нельзя.</w:t>
      </w:r>
    </w:p>
    <w:p>
      <w:pPr>
        <w:pBdr>
          <w:bottom w:val="single" w:color="999999" w:sz="6" w:space="4"/>
        </w:pBdr>
        <w:spacing w:after="140" w:before="3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6"/>
          <w:szCs w:val="26"/>
        </w:rPr>
        <w:t xml:space="preserve">1. Что меняется по сравнению с действующими РПД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Что</w:t>
            </w:r>
          </w:p>
        </w:tc>
        <w:tc>
          <w:tcPr>
            <w:tcW w:type="pct" w:w="4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Сейчас (ОПД 2025 / ОПДВП 2026)</w:t>
            </w:r>
          </w:p>
        </w:tc>
        <w:tc>
          <w:tcPr>
            <w:tcW w:type="pct" w:w="4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Предложение</w:t>
            </w:r>
          </w:p>
        </w:tc>
      </w:tr>
      <w:tr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Модель курса</w:t>
            </w:r>
          </w:p>
        </w:tc>
        <w:tc>
          <w:tcPr>
            <w:tcW w:type="pct" w:w="4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набор тем; каждая практика — на своём типе проекта</w:t>
            </w:r>
          </w:p>
        </w:tc>
        <w:tc>
          <w:tcPr>
            <w:tcW w:type="pct" w:w="4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сквозной командный проект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 (3–4 человека) на весь семестр; практики — шаги его жизненного цикла; у каждой практики назван артефакт, выход одной практики служит входом следующей</w:t>
            </w:r>
          </w:p>
        </w:tc>
      </w:tr>
      <w:tr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Каркас содержания</w:t>
            </w:r>
          </w:p>
        </w:tc>
        <w:tc>
          <w:tcPr>
            <w:tcW w:type="pct" w:w="4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энциклопедические темы</w:t>
            </w:r>
          </w:p>
        </w:tc>
        <w:tc>
          <w:tcPr>
            <w:tcW w:type="pct" w:w="4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шесть разделов: рамка курса и пять фаз жизненного цикла (в PMBOK 8 — фокусные области); внутри — домены исполнения PMBOK 8 и инструменты PMBOK 6. Разделы совпадают с главами методических указаний</w:t>
            </w:r>
          </w:p>
        </w:tc>
      </w:tr>
      <w:tr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Самостоятельная работа</w:t>
            </w:r>
          </w:p>
        </w:tc>
        <w:tc>
          <w:tcPr>
            <w:tcW w:type="pct" w:w="4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только теория, подготовка к ТКУ и ПА</w:t>
            </w:r>
          </w:p>
        </w:tc>
        <w:tc>
          <w:tcPr>
            <w:tcW w:type="pct" w:w="4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12 ч из 21 — на выполнение этапов проекта</w:t>
            </w:r>
          </w:p>
        </w:tc>
      </w:tr>
      <w:tr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Оценивание</w:t>
            </w:r>
          </w:p>
        </w:tc>
        <w:tc>
          <w:tcPr>
            <w:tcW w:type="pct" w:w="4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список вопросов, банк тестов, «глубоко и всесторонне усвоил»</w:t>
            </w:r>
          </w:p>
        </w:tc>
        <w:tc>
          <w:tcPr>
            <w:tcW w:type="pct" w:w="4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вехи проекта с баллами, два теста по пройденным темам, питч-защита с рубрикой; 100 баллов</w:t>
            </w:r>
          </w:p>
        </w:tc>
      </w:tr>
      <w:tr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Вклад каждого</w:t>
            </w:r>
          </w:p>
        </w:tc>
        <w:tc>
          <w:tcPr>
            <w:tcW w:type="pct" w:w="4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не оценивается</w:t>
            </w:r>
          </w:p>
        </w:tc>
        <w:tc>
          <w:tcPr>
            <w:tcW w:type="pct" w:w="4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взаимная оценка внутри команды и личный ответ на защите</w:t>
            </w:r>
          </w:p>
        </w:tc>
      </w:tr>
      <w:tr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ПО</w:t>
            </w:r>
          </w:p>
        </w:tc>
        <w:tc>
          <w:tcPr>
            <w:tcW w:type="pct" w:w="4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«не предусмотрено» при практике в MS Project / GanttPRO</w:t>
            </w:r>
          </w:p>
        </w:tc>
        <w:tc>
          <w:tcPr>
            <w:tcW w:type="pct" w:w="4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свободное ПО (ProjectLibre или GanttProject), офисный пакет, веб-инструменты методических указаний</w:t>
            </w:r>
          </w:p>
        </w:tc>
      </w:tr>
      <w:tr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Литература</w:t>
            </w:r>
          </w:p>
        </w:tc>
        <w:tc>
          <w:tcPr>
            <w:tcW w:type="pct" w:w="4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без PMBOK и стандартов</w:t>
            </w:r>
          </w:p>
        </w:tc>
        <w:tc>
          <w:tcPr>
            <w:tcW w:type="pct" w:w="4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PMBOK 8 и 6, ГОСТ Р ИСО 21500–2014, ГОСТ Р 54869–2011, издания ГУАП, новые методические указания</w:t>
            </w:r>
          </w:p>
        </w:tc>
      </w:tr>
    </w:tbl>
    <w:p>
      <w:pPr>
        <w:spacing w:after="140"/>
      </w:pPr>
    </w:p>
    <w:p>
      <w:pPr>
        <w:pBdr>
          <w:bottom w:val="single" w:color="999999" w:sz="6" w:space="4"/>
        </w:pBdr>
        <w:spacing w:after="140" w:before="3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6"/>
          <w:szCs w:val="26"/>
        </w:rPr>
        <w:t xml:space="preserve">2. Цели и планируемые результаты (раздел 1 РПД)</w:t>
      </w:r>
    </w:p>
    <w:p>
      <w:pPr>
        <w:spacing w:after="90" w:before="2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2.1. Цель дисциплины</w:t>
      </w: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Сформировать у студента первого курса умение пройти в команде полный цикл небольшого проекта — от проблемы и идеи до публичной защиты результата — и показать каждый шаг проверяемым артефактом. Попутно студент учится управлять своим временем и честно сравнивать план с фактом.</w:t>
      </w:r>
    </w:p>
    <w:p>
      <w:pPr>
        <w:spacing w:after="90" w:before="2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2.2. Компетенции и индикаторы</w:t>
      </w: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Набор компетенций задаёт образовательная программа (руководитель ОП). Ниже — объединение наборов двух действующих РПД с артефактом, которым подтверждается каждый индикатор. Если по учебному плану 1 курса дисциплине назначен набор ОПДВП, строки с пометкой «ОПД» убираются.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4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Индикатор (формулировки из действующих РПД)</w:t>
            </w:r>
          </w:p>
        </w:tc>
        <w:tc>
          <w:tcPr>
            <w:tcW w:type="pct" w:w="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Где есть</w:t>
            </w:r>
          </w:p>
        </w:tc>
        <w:tc>
          <w:tcPr>
            <w:tcW w:type="pct" w:w="4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Чем подтверждается в курсе</w:t>
            </w:r>
          </w:p>
        </w:tc>
      </w:tr>
      <w:tr>
        <w:tc>
          <w:tcPr>
            <w:tcW w:type="pct" w:w="4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УК-1.Д.1 анализ ситуации для выявления актуальной социально значимой задачи (проблемы)</w:t>
            </w:r>
          </w:p>
        </w:tc>
        <w:tc>
          <w:tcPr>
            <w:tcW w:type="pct" w:w="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обе</w:t>
            </w:r>
          </w:p>
        </w:tc>
        <w:tc>
          <w:tcPr>
            <w:tcW w:type="pct" w:w="4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дерево проблем; записи трёх разговоров с пользователями</w:t>
            </w:r>
          </w:p>
        </w:tc>
      </w:tr>
      <w:tr>
        <w:tc>
          <w:tcPr>
            <w:tcW w:type="pct" w:w="4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УК-1.Д.2 постановка проблемы: содержание, субъект, заинтересованные стороны</w:t>
            </w:r>
          </w:p>
        </w:tc>
        <w:tc>
          <w:tcPr>
            <w:tcW w:type="pct" w:w="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обе</w:t>
            </w:r>
          </w:p>
        </w:tc>
        <w:tc>
          <w:tcPr>
            <w:tcW w:type="pct" w:w="4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паспорт проекта (разделы «проблема», «заинтересованные стороны»)</w:t>
            </w:r>
          </w:p>
        </w:tc>
      </w:tr>
      <w:tr>
        <w:tc>
          <w:tcPr>
            <w:tcW w:type="pct" w:w="4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УК-1.Д.3 требования и ожидания заинтересованных сторон</w:t>
            </w:r>
          </w:p>
        </w:tc>
        <w:tc>
          <w:tcPr>
            <w:tcW w:type="pct" w:w="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обе</w:t>
            </w:r>
          </w:p>
        </w:tc>
        <w:tc>
          <w:tcPr>
            <w:tcW w:type="pct" w:w="4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матрица заинтересованных сторон со стратегиями работы</w:t>
            </w:r>
          </w:p>
        </w:tc>
      </w:tr>
      <w:tr>
        <w:tc>
          <w:tcPr>
            <w:tcW w:type="pct" w:w="4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УК-2.Д.1 гипотеза решения в условиях ресурсных, нормативных и этических ограничений; рефлексия</w:t>
            </w:r>
          </w:p>
        </w:tc>
        <w:tc>
          <w:tcPr>
            <w:tcW w:type="pct" w:w="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обе</w:t>
            </w:r>
          </w:p>
        </w:tc>
        <w:tc>
          <w:tcPr>
            <w:tcW w:type="pct" w:w="4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ценностное предложение и SMART-цель; журнал проекта</w:t>
            </w:r>
          </w:p>
        </w:tc>
      </w:tr>
      <w:tr>
        <w:tc>
          <w:tcPr>
            <w:tcW w:type="pct" w:w="4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УК-2.Д.2 паспорт проекта с учётом компетенций команды и ресурсов</w:t>
            </w:r>
          </w:p>
        </w:tc>
        <w:tc>
          <w:tcPr>
            <w:tcW w:type="pct" w:w="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обе</w:t>
            </w:r>
          </w:p>
        </w:tc>
        <w:tc>
          <w:tcPr>
            <w:tcW w:type="pct" w:w="4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паспорт проекта (веха «Паспорт»)</w:t>
            </w:r>
          </w:p>
        </w:tc>
      </w:tr>
      <w:tr>
        <w:tc>
          <w:tcPr>
            <w:tcW w:type="pct" w:w="4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УК-2.Д.3 использование академических знаний для целей проекта</w:t>
            </w:r>
          </w:p>
        </w:tc>
        <w:tc>
          <w:tcPr>
            <w:tcW w:type="pct" w:w="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обе</w:t>
            </w:r>
          </w:p>
        </w:tc>
        <w:tc>
          <w:tcPr>
            <w:tcW w:type="pct" w:w="4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иерархическая структура работ и план проекта (веха «План»)</w:t>
            </w:r>
          </w:p>
        </w:tc>
      </w:tr>
      <w:tr>
        <w:tc>
          <w:tcPr>
            <w:tcW w:type="pct" w:w="4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УК-2.З.1 виды ресурсов и ограничений</w:t>
            </w:r>
          </w:p>
        </w:tc>
        <w:tc>
          <w:tcPr>
            <w:tcW w:type="pct" w:w="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ОПД</w:t>
            </w:r>
          </w:p>
        </w:tc>
        <w:tc>
          <w:tcPr>
            <w:tcW w:type="pct" w:w="4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тест 2; смета и реестр рисков</w:t>
            </w:r>
          </w:p>
        </w:tc>
      </w:tr>
      <w:tr>
        <w:tc>
          <w:tcPr>
            <w:tcW w:type="pct" w:w="4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УК-3.З.1, УК-3.У.1, УК-3.В.1 основы, нормы и навыки социального взаимодействия</w:t>
            </w:r>
          </w:p>
        </w:tc>
        <w:tc>
          <w:tcPr>
            <w:tcW w:type="pct" w:w="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ОПДВП</w:t>
            </w:r>
          </w:p>
        </w:tc>
        <w:tc>
          <w:tcPr>
            <w:tcW w:type="pct" w:w="4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карта ролей и договор команды</w:t>
            </w:r>
          </w:p>
        </w:tc>
      </w:tr>
      <w:tr>
        <w:tc>
          <w:tcPr>
            <w:tcW w:type="pct" w:w="4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УК-3.Д.1 позиция по отношению к проблеме, осознанный выбор роли</w:t>
            </w:r>
          </w:p>
        </w:tc>
        <w:tc>
          <w:tcPr>
            <w:tcW w:type="pct" w:w="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обе</w:t>
            </w:r>
          </w:p>
        </w:tc>
        <w:tc>
          <w:tcPr>
            <w:tcW w:type="pct" w:w="4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карта ролей; личный ответ на защите</w:t>
            </w:r>
          </w:p>
        </w:tc>
      </w:tr>
      <w:tr>
        <w:tc>
          <w:tcPr>
            <w:tcW w:type="pct" w:w="4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УК-3.Д.2, УК-3.Д.3 совместная проектная деятельность с учётом социального контекста</w:t>
            </w:r>
          </w:p>
        </w:tc>
        <w:tc>
          <w:tcPr>
            <w:tcW w:type="pct" w:w="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обе</w:t>
            </w:r>
          </w:p>
        </w:tc>
        <w:tc>
          <w:tcPr>
            <w:tcW w:type="pct" w:w="4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взаимная оценка в команде; журнал проекта</w:t>
            </w:r>
          </w:p>
        </w:tc>
      </w:tr>
      <w:tr>
        <w:tc>
          <w:tcPr>
            <w:tcW w:type="pct" w:w="4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УК-5.Д.5, УК-5.Д.6 гражданская идентичность и позиция</w:t>
            </w:r>
          </w:p>
        </w:tc>
        <w:tc>
          <w:tcPr>
            <w:tcW w:type="pct" w:w="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обе</w:t>
            </w:r>
          </w:p>
        </w:tc>
        <w:tc>
          <w:tcPr>
            <w:tcW w:type="pct" w:w="4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раздел паспорта «социальная значимость»; защита</w:t>
            </w:r>
          </w:p>
        </w:tc>
      </w:tr>
      <w:tr>
        <w:tc>
          <w:tcPr>
            <w:tcW w:type="pct" w:w="4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УК-5.Д.7 рефлексивные практики</w:t>
            </w:r>
          </w:p>
        </w:tc>
        <w:tc>
          <w:tcPr>
            <w:tcW w:type="pct" w:w="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обе</w:t>
            </w:r>
          </w:p>
        </w:tc>
        <w:tc>
          <w:tcPr>
            <w:tcW w:type="pct" w:w="4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итоговая рефлексия «извлечённые уроки» в отчёте</w:t>
            </w:r>
          </w:p>
        </w:tc>
      </w:tr>
      <w:tr>
        <w:tc>
          <w:tcPr>
            <w:tcW w:type="pct" w:w="4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УК-6.З.1, УК-6.У.1 управление своим временем</w:t>
            </w:r>
          </w:p>
        </w:tc>
        <w:tc>
          <w:tcPr>
            <w:tcW w:type="pct" w:w="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ОПДВП</w:t>
            </w:r>
          </w:p>
        </w:tc>
        <w:tc>
          <w:tcPr>
            <w:tcW w:type="pct" w:w="4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календарный план и сверка «план против факта» на чекпоинте</w:t>
            </w:r>
          </w:p>
        </w:tc>
      </w:tr>
      <w:tr>
        <w:tc>
          <w:tcPr>
            <w:tcW w:type="pct" w:w="4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ПК-0.З.1, ПК-0.У.1, ПК-0.В.1 траектория профессионального саморазвития</w:t>
            </w:r>
          </w:p>
        </w:tc>
        <w:tc>
          <w:tcPr>
            <w:tcW w:type="pct" w:w="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ОПДВП</w:t>
            </w:r>
          </w:p>
        </w:tc>
        <w:tc>
          <w:tcPr>
            <w:tcW w:type="pct" w:w="4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раздел отчёта «куда двигаться дальше» (НИР, гранты)</w:t>
            </w:r>
          </w:p>
        </w:tc>
      </w:tr>
      <w:tr>
        <w:tc>
          <w:tcPr>
            <w:tcW w:type="pct" w:w="4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ОПК-3 составление и оформление научно-технической документации</w:t>
            </w:r>
          </w:p>
        </w:tc>
        <w:tc>
          <w:tcPr>
            <w:tcW w:type="pct" w:w="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ОПД</w:t>
            </w:r>
          </w:p>
        </w:tc>
        <w:tc>
          <w:tcPr>
            <w:tcW w:type="pct" w:w="4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письменный отчёт по проекту</w:t>
            </w:r>
          </w:p>
        </w:tc>
      </w:tr>
      <w:tr>
        <w:tc>
          <w:tcPr>
            <w:tcW w:type="pct" w:w="4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ОПК-4 сбор и обработка научно-технической информации</w:t>
            </w:r>
          </w:p>
        </w:tc>
        <w:tc>
          <w:tcPr>
            <w:tcW w:type="pct" w:w="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ОПД</w:t>
            </w:r>
          </w:p>
        </w:tc>
        <w:tc>
          <w:tcPr>
            <w:tcW w:type="pct" w:w="4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обзор аналогов в паспорте; источники отчёта</w:t>
            </w:r>
          </w:p>
        </w:tc>
      </w:tr>
      <w:tr>
        <w:tc>
          <w:tcPr>
            <w:tcW w:type="pct" w:w="4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ПК-2 стратегии командного сотрудничества</w:t>
            </w:r>
          </w:p>
        </w:tc>
        <w:tc>
          <w:tcPr>
            <w:tcW w:type="pct" w:w="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ОПД</w:t>
            </w:r>
          </w:p>
        </w:tc>
        <w:tc>
          <w:tcPr>
            <w:tcW w:type="pct" w:w="4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карта ролей; договор команды; взаимная оценка</w:t>
            </w:r>
          </w:p>
        </w:tc>
      </w:tr>
      <w:tr>
        <w:tc>
          <w:tcPr>
            <w:tcW w:type="pct" w:w="4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ПК-4 технические требования к модернизации технологических линий</w:t>
            </w:r>
          </w:p>
        </w:tc>
        <w:tc>
          <w:tcPr>
            <w:tcW w:type="pct" w:w="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ОПД</w:t>
            </w:r>
          </w:p>
        </w:tc>
        <w:tc>
          <w:tcPr>
            <w:tcW w:type="pct" w:w="4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для технических проектов (Вектор А) — раздел паспорта «требования к результату»;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связь слабая — обсудить с руководителем ОП</w:t>
            </w:r>
          </w:p>
        </w:tc>
      </w:tr>
    </w:tbl>
    <w:p>
      <w:pPr>
        <w:spacing w:after="140"/>
      </w:pPr>
    </w:p>
    <w:p>
      <w:pPr>
        <w:pBdr>
          <w:bottom w:val="single" w:color="999999" w:sz="6" w:space="4"/>
        </w:pBdr>
        <w:spacing w:after="140" w:before="3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6"/>
          <w:szCs w:val="26"/>
        </w:rPr>
        <w:t xml:space="preserve">3. Место дисциплины (раздел 2 РПД)</w:t>
      </w: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Дисциплина читается в первом семестре и опирается на школьные знания и параллельно изучаемые «Физику» и «Информатику». Её результаты используются в дисциплинах «Проектная деятельность», «Управление инновационными проектами», «Управление инновационной деятельностью», «Технологическое предпринимательство», «Правовые основы профессиональной деятельности», а также в курсовых работах и НИР. Список — по действующей РПД ОПДВП, [уточнить: актуальный учебный план].</w:t>
      </w:r>
    </w:p>
    <w:p>
      <w:pPr>
        <w:pBdr>
          <w:bottom w:val="single" w:color="999999" w:sz="6" w:space="4"/>
        </w:pBdr>
        <w:spacing w:after="140" w:before="3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6"/>
          <w:szCs w:val="26"/>
        </w:rPr>
        <w:t xml:space="preserve">4. Объём (раздел 3, таблица 2)</w:t>
      </w: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Без изменений, это учебный план: 2 ЗЕ (72 ч); лекции 17 ч, практические занятия 34 ч, самостоятельная работа 21 ч; зачёт.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Практическая подготовка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— предлагается 8 ч в практиках, где студенты выполняют трудовые функции: разговоры с заинтересованными сторонами, структура работ и календарный план, отчёт, защита (таблица 5).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Лекции в расписании.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Сейчас у обеих групп стоит одна пара в неделю с пометкой «Пр», а лекционная часть идёт внутри пары. Предлагается описать это в разделе 11 (лекционная часть — 15–30 минут в начале пары) или добиться отдельного лекционного часа в расписании. [уточнить: учебный отдел].</w:t>
      </w:r>
    </w:p>
    <w:p>
      <w:pPr>
        <w:pBdr>
          <w:bottom w:val="single" w:color="999999" w:sz="6" w:space="4"/>
        </w:pBdr>
        <w:spacing w:after="140" w:before="3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6"/>
          <w:szCs w:val="26"/>
        </w:rPr>
        <w:t xml:space="preserve">5. Разделы и темы (таблица 3)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7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Раздел и темы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Лекции, ч</w:t>
            </w:r>
          </w:p>
        </w:tc>
        <w:tc>
          <w:tcPr>
            <w:tcW w:type="pct" w:w="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ПЗ, ч</w:t>
            </w:r>
          </w:p>
        </w:tc>
        <w:tc>
          <w:tcPr>
            <w:tcW w:type="pct" w:w="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СР, ч</w:t>
            </w:r>
          </w:p>
        </w:tc>
      </w:tr>
      <w:tr>
        <w:tc>
          <w:tcPr>
            <w:tcW w:type="pct" w:w="7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Раздел 1. Проект и проектная деятельность.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 1.1 Проект и процесс: четыре признака проекта, железный треугольник, жизненный цикл из пяти фаз. 1.2 Подходы к управлению: предиктивный, адаптивный, гибридный; принципы PMBOK 8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pct" w:w="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pct" w:w="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pct" w:w="7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Раздел 2. Инициация.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 2.1 Проблема, идея и ценностное предложение. 2.2 SMART-цель. 2.3 Паспорт (устав) проекта. 2.4 Заинтересованные стороны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4</w:t>
            </w:r>
          </w:p>
        </w:tc>
        <w:tc>
          <w:tcPr>
            <w:tcW w:type="pct" w:w="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6</w:t>
            </w:r>
          </w:p>
        </w:tc>
        <w:tc>
          <w:tcPr>
            <w:tcW w:type="pct" w:w="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4</w:t>
            </w:r>
          </w:p>
        </w:tc>
      </w:tr>
      <w:tr>
        <w:tc>
          <w:tcPr>
            <w:tcW w:type="pct" w:w="7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Раздел 3. Планирование.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 3.1 Дерево проблем и дерево целей. 3.2 Иерархическая структура работ. 3.3 Календарный план, критический путь, диаграмма Ганта. 3.4 Ресурсы и смета. 3.5 Риски: PEST и SWOT как источники, реестр, ответы. 3.6 Сводный план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5</w:t>
            </w:r>
          </w:p>
        </w:tc>
        <w:tc>
          <w:tcPr>
            <w:tcW w:type="pct" w:w="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8</w:t>
            </w:r>
          </w:p>
        </w:tc>
        <w:tc>
          <w:tcPr>
            <w:tcW w:type="pct" w:w="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6</w:t>
            </w:r>
          </w:p>
        </w:tc>
      </w:tr>
      <w:tr>
        <w:tc>
          <w:tcPr>
            <w:tcW w:type="pct" w:w="7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Раздел 4. Исполнение.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 4.1 Команда: роли (по Р. М. Белбину), стадии развития (по Б. Такмену), договорённости и конфликты. 4.2 Коммуникации и журнал проекта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pct" w:w="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4</w:t>
            </w:r>
          </w:p>
        </w:tc>
        <w:tc>
          <w:tcPr>
            <w:tcW w:type="pct" w:w="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pct" w:w="7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Раздел 5. Мониторинг и контроль.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 5.1 План против факта: отклонения. 5.2 Управление изменениями, вторая версия плана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pct" w:w="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6</w:t>
            </w:r>
          </w:p>
        </w:tc>
        <w:tc>
          <w:tcPr>
            <w:tcW w:type="pct" w:w="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pct" w:w="7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Раздел 6. Закрытие.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 6.1 Приёмка результата и экспертиза проекта. 6.2 Отчёт. 6.3 Питч-защита. 6.4 Извлечённые уроки; куда подать проект: гранты и конкурсы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3</w:t>
            </w:r>
          </w:p>
        </w:tc>
        <w:tc>
          <w:tcPr>
            <w:tcW w:type="pct" w:w="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8</w:t>
            </w:r>
          </w:p>
        </w:tc>
        <w:tc>
          <w:tcPr>
            <w:tcW w:type="pct" w:w="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4</w:t>
            </w:r>
          </w:p>
        </w:tc>
      </w:tr>
      <w:tr>
        <w:tc>
          <w:tcPr>
            <w:tcW w:type="pct" w:w="7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Итого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17</w:t>
            </w:r>
          </w:p>
        </w:tc>
        <w:tc>
          <w:tcPr>
            <w:tcW w:type="pct" w:w="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34</w:t>
            </w:r>
          </w:p>
        </w:tc>
        <w:tc>
          <w:tcPr>
            <w:tcW w:type="pct" w:w="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21</w:t>
            </w:r>
          </w:p>
        </w:tc>
      </w:tr>
    </w:tbl>
    <w:p>
      <w:pPr>
        <w:spacing w:after="140"/>
      </w:pPr>
    </w:p>
    <w:p>
      <w:pPr>
        <w:pBdr>
          <w:bottom w:val="single" w:color="999999" w:sz="6" w:space="4"/>
        </w:pBdr>
        <w:spacing w:after="140" w:before="3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6"/>
          <w:szCs w:val="26"/>
        </w:rPr>
        <w:t xml:space="preserve">6. Содержание лекционной части (таблица 4)</w:t>
      </w: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Формулировка каждой темы отвечает на вопрос, что студент умеет к её концу. Термины — в русской адаптации; английский оригинал дан один раз, при первом упоминании, дальше только русский термин.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Раздел 1. Проект и проектная деятельность.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</w:t>
      </w:r>
      <w:r>
        <w:rPr>
          <w:rFonts w:ascii="Arial" w:cs="Arial" w:eastAsia="Arial" w:hAnsi="Arial"/>
          <w:b w:val="false"/>
          <w:bCs w:val="false"/>
          <w:i/>
          <w:iCs/>
          <w:color w:val="1A1A1A"/>
          <w:sz w:val="20"/>
          <w:szCs w:val="20"/>
        </w:rPr>
        <w:t xml:space="preserve">Тема 1.1.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Чем проект отличается от текущей деятельности: изменение против повторяющейся работы. Четыре признака проекта по PMBOK: целевая направленность, ограниченность во времени, ресурсный лимит, уникальность. Железный треугольник: содержание, сроки, стоимость (англ. scope, time, cost), качество в центре. Жизненный цикл из пяти фаз: инициация, планирование, исполнение, мониторинг и контроль, закрытие. В PMBOK 8 эти фазы называются фокусными областями (англ. focus areas). Классификация проектов: научные, технические, социальные.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</w:t>
      </w:r>
      <w:r>
        <w:rPr>
          <w:rFonts w:ascii="Arial" w:cs="Arial" w:eastAsia="Arial" w:hAnsi="Arial"/>
          <w:b w:val="false"/>
          <w:bCs w:val="false"/>
          <w:i/>
          <w:iCs/>
          <w:color w:val="1A1A1A"/>
          <w:sz w:val="20"/>
          <w:szCs w:val="20"/>
        </w:rPr>
        <w:t xml:space="preserve">Тема 1.2.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Подходы к управлению проектом: предиктивный, или каскадный (англ. waterfall), адаптивный, или гибкий (англ. agile; например, Scrum), и гибридный. Как выбрать и настроить подход под свой проект. Шесть принципов PMBOK 8 на студенческих примерах: принимать целостный взгляд, фокусироваться на ценности, встраивать качество в процессы и результаты, быть подотчётным лидером, интегрировать устойчивость во все области проекта, формировать культуру полномочий. Искусственный интеллект в проекте: где помогает, где нужна проверка человеком.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Раздел 2. Инициация.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</w:t>
      </w:r>
      <w:r>
        <w:rPr>
          <w:rFonts w:ascii="Arial" w:cs="Arial" w:eastAsia="Arial" w:hAnsi="Arial"/>
          <w:b w:val="false"/>
          <w:bCs w:val="false"/>
          <w:i/>
          <w:iCs/>
          <w:color w:val="1A1A1A"/>
          <w:sz w:val="20"/>
          <w:szCs w:val="20"/>
        </w:rPr>
        <w:t xml:space="preserve">Тема 2.1.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Проблема и её владелец. Ценностное предложение (по Остервальдеру и Пинье). Отбор идеи по четырём критериям: актуальность, реализуемость, измеримость, новизна.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</w:t>
      </w:r>
      <w:r>
        <w:rPr>
          <w:rFonts w:ascii="Arial" w:cs="Arial" w:eastAsia="Arial" w:hAnsi="Arial"/>
          <w:b w:val="false"/>
          <w:bCs w:val="false"/>
          <w:i/>
          <w:iCs/>
          <w:color w:val="1A1A1A"/>
          <w:sz w:val="20"/>
          <w:szCs w:val="20"/>
        </w:rPr>
        <w:t xml:space="preserve">Тема 2.2.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SMART-цель (Doran, 1981): конкретная, измеримая, достижимая, значимая, ограниченная во времени.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</w:t>
      </w:r>
      <w:r>
        <w:rPr>
          <w:rFonts w:ascii="Arial" w:cs="Arial" w:eastAsia="Arial" w:hAnsi="Arial"/>
          <w:b w:val="false"/>
          <w:bCs w:val="false"/>
          <w:i/>
          <w:iCs/>
          <w:color w:val="1A1A1A"/>
          <w:sz w:val="20"/>
          <w:szCs w:val="20"/>
        </w:rPr>
        <w:t xml:space="preserve">Тема 2.3.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Паспорт (устав) проекта: результат и форма его предъявления, границы (что команда делать не будет), ресурсы, критерии успеха. Домен «руководство» (англ. governance): кто принимает решения в проекте. Решение «идём / не идём».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</w:t>
      </w:r>
      <w:r>
        <w:rPr>
          <w:rFonts w:ascii="Arial" w:cs="Arial" w:eastAsia="Arial" w:hAnsi="Arial"/>
          <w:b w:val="false"/>
          <w:bCs w:val="false"/>
          <w:i/>
          <w:iCs/>
          <w:color w:val="1A1A1A"/>
          <w:sz w:val="20"/>
          <w:szCs w:val="20"/>
        </w:rPr>
        <w:t xml:space="preserve">Тема 2.4.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Заинтересованные стороны (домен «заинтересованные стороны»): поиск по четырём вопросам, матрица «влияние × заинтересованность», стратегии работы. НКО и сообщества как заинтересованные стороны и партнёры социального проекта.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Раздел 3. Планирование.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</w:t>
      </w:r>
      <w:r>
        <w:rPr>
          <w:rFonts w:ascii="Arial" w:cs="Arial" w:eastAsia="Arial" w:hAnsi="Arial"/>
          <w:b w:val="false"/>
          <w:bCs w:val="false"/>
          <w:i/>
          <w:iCs/>
          <w:color w:val="1A1A1A"/>
          <w:sz w:val="20"/>
          <w:szCs w:val="20"/>
        </w:rPr>
        <w:t xml:space="preserve">Тема 3.1.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Дерево проблем и дерево целей: от причин к целям; какие ветви проект берёт, какие остаются за границей.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</w:t>
      </w:r>
      <w:r>
        <w:rPr>
          <w:rFonts w:ascii="Arial" w:cs="Arial" w:eastAsia="Arial" w:hAnsi="Arial"/>
          <w:b w:val="false"/>
          <w:bCs w:val="false"/>
          <w:i/>
          <w:iCs/>
          <w:color w:val="1A1A1A"/>
          <w:sz w:val="20"/>
          <w:szCs w:val="20"/>
        </w:rPr>
        <w:t xml:space="preserve">Тема 3.2.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Иерархическая структура работ, домен «содержание»: декомпозиция, пакет работ, правило 100 %.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</w:t>
      </w:r>
      <w:r>
        <w:rPr>
          <w:rFonts w:ascii="Arial" w:cs="Arial" w:eastAsia="Arial" w:hAnsi="Arial"/>
          <w:b w:val="false"/>
          <w:bCs w:val="false"/>
          <w:i/>
          <w:iCs/>
          <w:color w:val="1A1A1A"/>
          <w:sz w:val="20"/>
          <w:szCs w:val="20"/>
        </w:rPr>
        <w:t xml:space="preserve">Тема 3.3.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Календарный план, домен «расписание»: зависимости работ, оценка длительности, метод критического пути, диаграмма Ганта.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</w:t>
      </w:r>
      <w:r>
        <w:rPr>
          <w:rFonts w:ascii="Arial" w:cs="Arial" w:eastAsia="Arial" w:hAnsi="Arial"/>
          <w:b w:val="false"/>
          <w:bCs w:val="false"/>
          <w:i/>
          <w:iCs/>
          <w:color w:val="1A1A1A"/>
          <w:sz w:val="20"/>
          <w:szCs w:val="20"/>
        </w:rPr>
        <w:t xml:space="preserve">Тема 3.4.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Ресурсы и смета, домены «ресурсы» и «финансы»: что нужно каждому пакету и откуда оно возьмётся.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</w:t>
      </w:r>
      <w:r>
        <w:rPr>
          <w:rFonts w:ascii="Arial" w:cs="Arial" w:eastAsia="Arial" w:hAnsi="Arial"/>
          <w:b w:val="false"/>
          <w:bCs w:val="false"/>
          <w:i/>
          <w:iCs/>
          <w:color w:val="1A1A1A"/>
          <w:sz w:val="20"/>
          <w:szCs w:val="20"/>
        </w:rPr>
        <w:t xml:space="preserve">Тема 3.5.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Риски, домен «риски»: PEST и SWOT как источники рисков, реестр, оценка «вероятность × влияние», ответы на риски.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</w:t>
      </w:r>
      <w:r>
        <w:rPr>
          <w:rFonts w:ascii="Arial" w:cs="Arial" w:eastAsia="Arial" w:hAnsi="Arial"/>
          <w:b w:val="false"/>
          <w:bCs w:val="false"/>
          <w:i/>
          <w:iCs/>
          <w:color w:val="1A1A1A"/>
          <w:sz w:val="20"/>
          <w:szCs w:val="20"/>
        </w:rPr>
        <w:t xml:space="preserve">Тема 3.6.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Сводный план проекта как один документ; принцип «фокусироваться на ценности» — проверка плана вопросом «что получит пользователь».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Раздел 4. Исполнение.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</w:t>
      </w:r>
      <w:r>
        <w:rPr>
          <w:rFonts w:ascii="Arial" w:cs="Arial" w:eastAsia="Arial" w:hAnsi="Arial"/>
          <w:b w:val="false"/>
          <w:bCs w:val="false"/>
          <w:i/>
          <w:iCs/>
          <w:color w:val="1A1A1A"/>
          <w:sz w:val="20"/>
          <w:szCs w:val="20"/>
        </w:rPr>
        <w:t xml:space="preserve">Тема 4.1.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Команда: роли по Р. М. Белбину, стадии развития группы по Б. Такмену, договор команды, работа с конфликтом. Принцип «формировать культуру полномочий».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</w:t>
      </w:r>
      <w:r>
        <w:rPr>
          <w:rFonts w:ascii="Arial" w:cs="Arial" w:eastAsia="Arial" w:hAnsi="Arial"/>
          <w:b w:val="false"/>
          <w:bCs w:val="false"/>
          <w:i/>
          <w:iCs/>
          <w:color w:val="1A1A1A"/>
          <w:sz w:val="20"/>
          <w:szCs w:val="20"/>
        </w:rPr>
        <w:t xml:space="preserve">Тема 4.2.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Коммуникации в проекте; журнал проекта (одна запись в неделю); ИИ в работе команды: что можно поручить, что проверять самим.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Раздел 5. Мониторинг и контроль.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</w:t>
      </w:r>
      <w:r>
        <w:rPr>
          <w:rFonts w:ascii="Arial" w:cs="Arial" w:eastAsia="Arial" w:hAnsi="Arial"/>
          <w:b w:val="false"/>
          <w:bCs w:val="false"/>
          <w:i/>
          <w:iCs/>
          <w:color w:val="1A1A1A"/>
          <w:sz w:val="20"/>
          <w:szCs w:val="20"/>
        </w:rPr>
        <w:t xml:space="preserve">Тема 5.1.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Сравнение плана с фактом, отклонения и их причины; домен «расписание».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</w:t>
      </w:r>
      <w:r>
        <w:rPr>
          <w:rFonts w:ascii="Arial" w:cs="Arial" w:eastAsia="Arial" w:hAnsi="Arial"/>
          <w:b w:val="false"/>
          <w:bCs w:val="false"/>
          <w:i/>
          <w:iCs/>
          <w:color w:val="1A1A1A"/>
          <w:sz w:val="20"/>
          <w:szCs w:val="20"/>
        </w:rPr>
        <w:t xml:space="preserve">Тема 5.2.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Запросы на изменение и вторая версия плана; принцип «принимать целостный взгляд»: изменение в одном месте задевает сроки, деньги и риски.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Раздел 6. Закрытие.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</w:t>
      </w:r>
      <w:r>
        <w:rPr>
          <w:rFonts w:ascii="Arial" w:cs="Arial" w:eastAsia="Arial" w:hAnsi="Arial"/>
          <w:b w:val="false"/>
          <w:bCs w:val="false"/>
          <w:i/>
          <w:iCs/>
          <w:color w:val="1A1A1A"/>
          <w:sz w:val="20"/>
          <w:szCs w:val="20"/>
        </w:rPr>
        <w:t xml:space="preserve">Тема 6.1.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Приёмка результата по критериям успеха из паспорта; экспертиза проектов (как оценивают заявки фонды и конкурсы).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</w:t>
      </w:r>
      <w:r>
        <w:rPr>
          <w:rFonts w:ascii="Arial" w:cs="Arial" w:eastAsia="Arial" w:hAnsi="Arial"/>
          <w:b w:val="false"/>
          <w:bCs w:val="false"/>
          <w:i/>
          <w:iCs/>
          <w:color w:val="1A1A1A"/>
          <w:sz w:val="20"/>
          <w:szCs w:val="20"/>
        </w:rPr>
        <w:t xml:space="preserve">Тема 6.2.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Письменный отчёт.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</w:t>
      </w:r>
      <w:r>
        <w:rPr>
          <w:rFonts w:ascii="Arial" w:cs="Arial" w:eastAsia="Arial" w:hAnsi="Arial"/>
          <w:b w:val="false"/>
          <w:bCs w:val="false"/>
          <w:i/>
          <w:iCs/>
          <w:color w:val="1A1A1A"/>
          <w:sz w:val="20"/>
          <w:szCs w:val="20"/>
        </w:rPr>
        <w:t xml:space="preserve">Тема 6.3.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Питч: структура, регламент, ответы на вопросы комиссии.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</w:t>
      </w:r>
      <w:r>
        <w:rPr>
          <w:rFonts w:ascii="Arial" w:cs="Arial" w:eastAsia="Arial" w:hAnsi="Arial"/>
          <w:b w:val="false"/>
          <w:bCs w:val="false"/>
          <w:i/>
          <w:iCs/>
          <w:color w:val="1A1A1A"/>
          <w:sz w:val="20"/>
          <w:szCs w:val="20"/>
        </w:rPr>
        <w:t xml:space="preserve">Тема 6.4.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Извлечённые уроки; принцип «интегрировать устойчивость» — что будет с результатом после проекта; куда подать проект: «УМНИК», Фонд содействия инновациям, Фонд президентских грантов, студенческие конкурсы.</w:t>
      </w:r>
    </w:p>
    <w:p>
      <w:pPr>
        <w:pBdr>
          <w:bottom w:val="single" w:color="999999" w:sz="6" w:space="4"/>
        </w:pBdr>
        <w:spacing w:after="140" w:before="3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6"/>
          <w:szCs w:val="26"/>
        </w:rPr>
        <w:t xml:space="preserve">7. Практические занятия (таблица 5)</w:t>
      </w: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Каждая практика — шаг проекта команды: технического (Вектор А) или социального (Вектор Б). Названия семи практик дорожной карты, объявленной студентам на первом занятии, сохранены по смыслу; из названий убран тип проекта, потому что команда весь семестр ведёт один свой проект.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№</w:t>
            </w:r>
          </w:p>
        </w:tc>
        <w:tc>
          <w:tcPr>
            <w:tcW w:type="pct" w:w="3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Тема практического занятия</w:t>
            </w:r>
          </w:p>
        </w:tc>
        <w:tc>
          <w:tcPr>
            <w:tcW w:type="pct" w:w="2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Форма</w:t>
            </w:r>
          </w:p>
        </w:tc>
        <w:tc>
          <w:tcPr>
            <w:tcW w:type="pct" w:w="2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Артефакт команды</w:t>
            </w:r>
          </w:p>
        </w:tc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Ч</w:t>
            </w:r>
          </w:p>
        </w:tc>
        <w:tc>
          <w:tcPr>
            <w:tcW w:type="pct" w:w="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Из них ПП</w:t>
            </w:r>
          </w:p>
        </w:tc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Раздел</w:t>
            </w:r>
          </w:p>
        </w:tc>
      </w:tr>
      <w:tr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pct" w:w="3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Команда и два концепта проекта: Вектор А и Вектор Б</w:t>
            </w:r>
          </w:p>
        </w:tc>
        <w:tc>
          <w:tcPr>
            <w:tcW w:type="pct" w:w="2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групповое обсуждение</w:t>
            </w:r>
          </w:p>
        </w:tc>
        <w:tc>
          <w:tcPr>
            <w:tcW w:type="pct" w:w="2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состав команды, роли, два концепта</w:t>
            </w:r>
          </w:p>
        </w:tc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pct" w:w="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pct" w:w="3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Инициация проекта: ценностное предложение, выбор концепта, SMART-цель</w:t>
            </w:r>
          </w:p>
        </w:tc>
        <w:tc>
          <w:tcPr>
            <w:tcW w:type="pct" w:w="2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анализ кейсов, работа в малых группах</w:t>
            </w:r>
          </w:p>
        </w:tc>
        <w:tc>
          <w:tcPr>
            <w:tcW w:type="pct" w:w="2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лист выбора концепта, SMART-цель</w:t>
            </w:r>
          </w:p>
        </w:tc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pct" w:w="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3</w:t>
            </w:r>
          </w:p>
        </w:tc>
        <w:tc>
          <w:tcPr>
            <w:tcW w:type="pct" w:w="3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Паспорт (устав) проекта команды</w:t>
            </w:r>
          </w:p>
        </w:tc>
        <w:tc>
          <w:tcPr>
            <w:tcW w:type="pct" w:w="2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работа в малых группах, разбор первой попытки</w:t>
            </w:r>
          </w:p>
        </w:tc>
        <w:tc>
          <w:tcPr>
            <w:tcW w:type="pct" w:w="2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паспорт, разделы 1–10</w:t>
            </w:r>
          </w:p>
        </w:tc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pct" w:w="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4</w:t>
            </w:r>
          </w:p>
        </w:tc>
        <w:tc>
          <w:tcPr>
            <w:tcW w:type="pct" w:w="3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Матрица заинтересованных сторон проекта; решение «идём / не идём»</w:t>
            </w:r>
          </w:p>
        </w:tc>
        <w:tc>
          <w:tcPr>
            <w:tcW w:type="pct" w:w="2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практическая работа</w:t>
            </w:r>
          </w:p>
        </w:tc>
        <w:tc>
          <w:tcPr>
            <w:tcW w:type="pct" w:w="2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матрица, записи трёх разговоров, подписанный паспорт</w:t>
            </w:r>
          </w:p>
        </w:tc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pct" w:w="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5</w:t>
            </w:r>
          </w:p>
        </w:tc>
        <w:tc>
          <w:tcPr>
            <w:tcW w:type="pct" w:w="3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Дерево проблем и дерево целей</w:t>
            </w:r>
          </w:p>
        </w:tc>
        <w:tc>
          <w:tcPr>
            <w:tcW w:type="pct" w:w="2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практическая работа</w:t>
            </w:r>
          </w:p>
        </w:tc>
        <w:tc>
          <w:tcPr>
            <w:tcW w:type="pct" w:w="2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два дерева, выбранные ветви</w:t>
            </w:r>
          </w:p>
        </w:tc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pct" w:w="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6</w:t>
            </w:r>
          </w:p>
        </w:tc>
        <w:tc>
          <w:tcPr>
            <w:tcW w:type="pct" w:w="3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Иерархическая структура работ проекта</w:t>
            </w:r>
          </w:p>
        </w:tc>
        <w:tc>
          <w:tcPr>
            <w:tcW w:type="pct" w:w="2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практическая работа, разбор ошибок</w:t>
            </w:r>
          </w:p>
        </w:tc>
        <w:tc>
          <w:tcPr>
            <w:tcW w:type="pct" w:w="2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дерево структуры работ и таблица пакетов</w:t>
            </w:r>
          </w:p>
        </w:tc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pct" w:w="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7</w:t>
            </w:r>
          </w:p>
        </w:tc>
        <w:tc>
          <w:tcPr>
            <w:tcW w:type="pct" w:w="3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Календарный план и диаграмма Ганта в цифровом инструменте</w:t>
            </w:r>
          </w:p>
        </w:tc>
        <w:tc>
          <w:tcPr>
            <w:tcW w:type="pct" w:w="2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решение задач, работа в ПО</w:t>
            </w:r>
          </w:p>
        </w:tc>
        <w:tc>
          <w:tcPr>
            <w:tcW w:type="pct" w:w="2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сеть работ, критический путь, диаграмма Ганта</w:t>
            </w:r>
          </w:p>
        </w:tc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pct" w:w="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8</w:t>
            </w:r>
          </w:p>
        </w:tc>
        <w:tc>
          <w:tcPr>
            <w:tcW w:type="pct" w:w="3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Ресурсы, реестр рисков и матрица реагирования; сборка плана</w:t>
            </w:r>
          </w:p>
        </w:tc>
        <w:tc>
          <w:tcPr>
            <w:tcW w:type="pct" w:w="2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кейс-метод, метод сценариев</w:t>
            </w:r>
          </w:p>
        </w:tc>
        <w:tc>
          <w:tcPr>
            <w:tcW w:type="pct" w:w="2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смета, реестр рисков, сводный план</w:t>
            </w:r>
          </w:p>
        </w:tc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pct" w:w="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9</w:t>
            </w:r>
          </w:p>
        </w:tc>
        <w:tc>
          <w:tcPr>
            <w:tcW w:type="pct" w:w="3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Командные роли (по Белбину) и решение конфликтов (по Такмену)</w:t>
            </w:r>
          </w:p>
        </w:tc>
        <w:tc>
          <w:tcPr>
            <w:tcW w:type="pct" w:w="2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ролевая игра, тренинг</w:t>
            </w:r>
          </w:p>
        </w:tc>
        <w:tc>
          <w:tcPr>
            <w:tcW w:type="pct" w:w="2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карта ролей, договор команды</w:t>
            </w:r>
          </w:p>
        </w:tc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pct" w:w="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4</w:t>
            </w:r>
          </w:p>
        </w:tc>
      </w:tr>
      <w:tr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10</w:t>
            </w:r>
          </w:p>
        </w:tc>
        <w:tc>
          <w:tcPr>
            <w:tcW w:type="pct" w:w="3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Исполнение: коммуникации и журнал проекта</w:t>
            </w:r>
          </w:p>
        </w:tc>
        <w:tc>
          <w:tcPr>
            <w:tcW w:type="pct" w:w="2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рабочая сессия команд</w:t>
            </w:r>
          </w:p>
        </w:tc>
        <w:tc>
          <w:tcPr>
            <w:tcW w:type="pct" w:w="2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журнал проекта, первые записи</w:t>
            </w:r>
          </w:p>
        </w:tc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pct" w:w="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4</w:t>
            </w:r>
          </w:p>
        </w:tc>
      </w:tr>
      <w:tr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11</w:t>
            </w:r>
          </w:p>
        </w:tc>
        <w:tc>
          <w:tcPr>
            <w:tcW w:type="pct" w:w="3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Отклонения и управление изменениями</w:t>
            </w:r>
          </w:p>
        </w:tc>
        <w:tc>
          <w:tcPr>
            <w:tcW w:type="pct" w:w="2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разбор ситуаций</w:t>
            </w:r>
          </w:p>
        </w:tc>
        <w:tc>
          <w:tcPr>
            <w:tcW w:type="pct" w:w="2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запросы на изменение</w:t>
            </w:r>
          </w:p>
        </w:tc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pct" w:w="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5</w:t>
            </w:r>
          </w:p>
        </w:tc>
      </w:tr>
      <w:tr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12</w:t>
            </w:r>
          </w:p>
        </w:tc>
        <w:tc>
          <w:tcPr>
            <w:tcW w:type="pct" w:w="3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Чекпоинт: план против факта</w:t>
            </w:r>
          </w:p>
        </w:tc>
        <w:tc>
          <w:tcPr>
            <w:tcW w:type="pct" w:w="2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доклад команды, обратная связь</w:t>
            </w:r>
          </w:p>
        </w:tc>
        <w:tc>
          <w:tcPr>
            <w:tcW w:type="pct" w:w="2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сверка диаграммы Ганта с журналом</w:t>
            </w:r>
          </w:p>
        </w:tc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pct" w:w="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5</w:t>
            </w:r>
          </w:p>
        </w:tc>
      </w:tr>
      <w:tr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13</w:t>
            </w:r>
          </w:p>
        </w:tc>
        <w:tc>
          <w:tcPr>
            <w:tcW w:type="pct" w:w="3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Коррекция плана после чекпоинта</w:t>
            </w:r>
          </w:p>
        </w:tc>
        <w:tc>
          <w:tcPr>
            <w:tcW w:type="pct" w:w="2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работа в малых группах</w:t>
            </w:r>
          </w:p>
        </w:tc>
        <w:tc>
          <w:tcPr>
            <w:tcW w:type="pct" w:w="2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вторая версия плана</w:t>
            </w:r>
          </w:p>
        </w:tc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pct" w:w="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5</w:t>
            </w:r>
          </w:p>
        </w:tc>
      </w:tr>
      <w:tr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14</w:t>
            </w:r>
          </w:p>
        </w:tc>
        <w:tc>
          <w:tcPr>
            <w:tcW w:type="pct" w:w="3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Приёмка результата и экспертиза проектов</w:t>
            </w:r>
          </w:p>
        </w:tc>
        <w:tc>
          <w:tcPr>
            <w:tcW w:type="pct" w:w="2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взаимная экспертиза</w:t>
            </w:r>
          </w:p>
        </w:tc>
        <w:tc>
          <w:tcPr>
            <w:tcW w:type="pct" w:w="2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сверка с критериями успеха</w:t>
            </w:r>
          </w:p>
        </w:tc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pct" w:w="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6</w:t>
            </w:r>
          </w:p>
        </w:tc>
      </w:tr>
      <w:tr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15</w:t>
            </w:r>
          </w:p>
        </w:tc>
        <w:tc>
          <w:tcPr>
            <w:tcW w:type="pct" w:w="3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Письменный отчёт</w:t>
            </w:r>
          </w:p>
        </w:tc>
        <w:tc>
          <w:tcPr>
            <w:tcW w:type="pct" w:w="2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практическая работа</w:t>
            </w:r>
          </w:p>
        </w:tc>
        <w:tc>
          <w:tcPr>
            <w:tcW w:type="pct" w:w="2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отчёт</w:t>
            </w:r>
          </w:p>
        </w:tc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pct" w:w="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6</w:t>
            </w:r>
          </w:p>
        </w:tc>
      </w:tr>
      <w:tr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16</w:t>
            </w:r>
          </w:p>
        </w:tc>
        <w:tc>
          <w:tcPr>
            <w:tcW w:type="pct" w:w="3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Питч: устройство и репетиция</w:t>
            </w:r>
          </w:p>
        </w:tc>
        <w:tc>
          <w:tcPr>
            <w:tcW w:type="pct" w:w="2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тренинг, обратная связь</w:t>
            </w:r>
          </w:p>
        </w:tc>
        <w:tc>
          <w:tcPr>
            <w:tcW w:type="pct" w:w="2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питч, план ответов</w:t>
            </w:r>
          </w:p>
        </w:tc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pct" w:w="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6</w:t>
            </w:r>
          </w:p>
        </w:tc>
      </w:tr>
      <w:tr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17</w:t>
            </w:r>
          </w:p>
        </w:tc>
        <w:tc>
          <w:tcPr>
            <w:tcW w:type="pct" w:w="3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Питч-защита перед комиссией</w:t>
            </w:r>
          </w:p>
        </w:tc>
        <w:tc>
          <w:tcPr>
            <w:tcW w:type="pct" w:w="2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публичная защита</w:t>
            </w:r>
          </w:p>
        </w:tc>
        <w:tc>
          <w:tcPr>
            <w:tcW w:type="pct" w:w="2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защита, извлечённые уроки</w:t>
            </w:r>
          </w:p>
        </w:tc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pct" w:w="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3</w:t>
            </w:r>
          </w:p>
        </w:tc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6</w:t>
            </w:r>
          </w:p>
        </w:tc>
      </w:tr>
      <w:tr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3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Всего</w:t>
            </w:r>
          </w:p>
        </w:tc>
        <w:tc>
          <w:tcPr>
            <w:tcW w:type="pct" w:w="2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2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34</w:t>
            </w:r>
          </w:p>
        </w:tc>
        <w:tc>
          <w:tcPr>
            <w:tcW w:type="pct" w:w="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8</w:t>
            </w:r>
          </w:p>
        </w:tc>
        <w:tc>
          <w:tcPr>
            <w:tcW w:type="pct" w:w="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</w:tr>
    </w:tbl>
    <w:p>
      <w:pPr>
        <w:spacing w:after="140"/>
      </w:pP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Тесты 1 и 2 (по 15 минут) проводятся в начале практик 6 и 13.</w:t>
      </w:r>
    </w:p>
    <w:p>
      <w:pPr>
        <w:pBdr>
          <w:bottom w:val="single" w:color="999999" w:sz="6" w:space="4"/>
        </w:pBdr>
        <w:spacing w:after="140" w:before="3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6"/>
          <w:szCs w:val="26"/>
        </w:rPr>
        <w:t xml:space="preserve">8. Самостоятельная работа (таблица 7)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9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Вид самостоятельной работы</w:t>
            </w:r>
          </w:p>
        </w:tc>
        <w:tc>
          <w:tcPr>
            <w:tcW w:type="pct" w:w="9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Ч</w:t>
            </w:r>
          </w:p>
        </w:tc>
      </w:tr>
      <w:tr>
        <w:tc>
          <w:tcPr>
            <w:tcW w:type="pct" w:w="9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Выполнение этапов командного проекта: разговоры с заинтересованными сторонами, вторые версии листов, прототип или мероприятие, журнал</w:t>
            </w:r>
          </w:p>
        </w:tc>
        <w:tc>
          <w:tcPr>
            <w:tcW w:type="pct" w:w="9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pct" w:w="9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Изучение теоретического материала по методическим указаниям</w:t>
            </w:r>
          </w:p>
        </w:tc>
        <w:tc>
          <w:tcPr>
            <w:tcW w:type="pct" w:w="9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5</w:t>
            </w:r>
          </w:p>
        </w:tc>
      </w:tr>
      <w:tr>
        <w:tc>
          <w:tcPr>
            <w:tcW w:type="pct" w:w="9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Подготовка к текущему контролю (тесты 1 и 2)</w:t>
            </w:r>
          </w:p>
        </w:tc>
        <w:tc>
          <w:tcPr>
            <w:tcW w:type="pct" w:w="9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pct" w:w="9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Подготовка к промежуточной аттестации (отчёт и защита)</w:t>
            </w:r>
          </w:p>
        </w:tc>
        <w:tc>
          <w:tcPr>
            <w:tcW w:type="pct" w:w="9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pct" w:w="9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Всего</w:t>
            </w:r>
          </w:p>
        </w:tc>
        <w:tc>
          <w:tcPr>
            <w:tcW w:type="pct" w:w="9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21</w:t>
            </w:r>
          </w:p>
        </w:tc>
      </w:tr>
    </w:tbl>
    <w:p>
      <w:pPr>
        <w:spacing w:after="140"/>
      </w:pP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Учебно-методическое обеспечение СРС (раздел 5 РПД):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методические указания к практическим занятиям и самостоятельной работе (готовятся к изданию в ГУАП), рабочая тетрадь (бланки А4) и цифровая версия с инструментами (раздел 10 этого документа).</w:t>
      </w:r>
    </w:p>
    <w:p>
      <w:pPr>
        <w:pBdr>
          <w:bottom w:val="single" w:color="999999" w:sz="6" w:space="4"/>
        </w:pBdr>
        <w:spacing w:after="140" w:before="3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6"/>
          <w:szCs w:val="26"/>
        </w:rPr>
        <w:t xml:space="preserve">9. Литература (таблица 8) — по ГОСТ Р 7.0.100–2018</w:t>
      </w: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Основная:</w:t>
      </w:r>
    </w:p>
    <w:p>
      <w:pPr>
        <w:spacing w:after="80" w:before="0" w:line="276"/>
        <w:ind w:left="360" w:hanging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1. A Guide to the Project Management Body of Knowledge (PMBOK Guide). – 8th ed. – Newtown Square, PA : Project Management Institute, 2025. – [уточнить: точное заглавие, объём, ISBN по экземпляру].</w:t>
      </w:r>
    </w:p>
    <w:p>
      <w:pPr>
        <w:spacing w:after="80" w:before="0" w:line="276"/>
        <w:ind w:left="360" w:hanging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2. Руководство к своду знаний по управлению проектами (Руководство PMBOK). – 6-е изд. – Ньютаун-Сквер, Пенсильвания : Project Management Institute, 2017. – [уточнить: объём, ISBN по экземпляру русского перевода].</w:t>
      </w:r>
    </w:p>
    <w:p>
      <w:pPr>
        <w:spacing w:after="80" w:before="0" w:line="276"/>
        <w:ind w:left="360" w:hanging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3. Акопян, Б. К. [уточнить: заглавие] : учебное пособие / Б. К. Акопян. – Санкт-Петербург : ГУАП, 2024. – [уточнить: объём]. – [уточнить: URL в ЭБС «Лань» и дата обращения].</w:t>
      </w:r>
    </w:p>
    <w:p>
      <w:pPr>
        <w:spacing w:after="80" w:before="0" w:line="276"/>
        <w:ind w:left="360" w:hanging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4. Основы проектной деятельности : учебное пособие / И. В. Моргачев, А. В. Кунченко, А. Г. Досова, Д. С. Чайкин. – Волгоград : Волгоградский ГАУ, 2025. – 120 с. – URL: https://e.lanbook.com/book/506075 (дата обращения: [уточнить]). – Режим доступа: для авториз. пользователей. </w:t>
      </w:r>
      <w:r>
        <w:rPr>
          <w:rFonts w:ascii="Arial" w:cs="Arial" w:eastAsia="Arial" w:hAnsi="Arial"/>
          <w:b w:val="false"/>
          <w:bCs w:val="false"/>
          <w:i/>
          <w:iCs/>
          <w:color w:val="1A1A1A"/>
          <w:sz w:val="20"/>
          <w:szCs w:val="20"/>
        </w:rPr>
        <w:t xml:space="preserve">(из действующей РПД ОПДВП)</w:t>
      </w:r>
    </w:p>
    <w:p>
      <w:pPr>
        <w:spacing w:after="80" w:before="0" w:line="276"/>
        <w:ind w:left="360" w:hanging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5. [Методические указания к практическим занятиям и самостоятельной работе по дисциплине «Основы проектной деятельности»] / Д. А. Попов. – Санкт-Петербург : ГУАП, 2027. – (в печати). </w:t>
      </w:r>
      <w:r>
        <w:rPr>
          <w:rFonts w:ascii="Arial" w:cs="Arial" w:eastAsia="Arial" w:hAnsi="Arial"/>
          <w:b w:val="false"/>
          <w:bCs w:val="false"/>
          <w:i/>
          <w:iCs/>
          <w:color w:val="1A1A1A"/>
          <w:sz w:val="20"/>
          <w:szCs w:val="20"/>
        </w:rPr>
        <w:t xml:space="preserve">(рабочее название)</w:t>
      </w: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Нормативные документы:</w:t>
      </w:r>
    </w:p>
    <w:p>
      <w:pPr>
        <w:spacing w:after="80" w:before="0" w:line="276"/>
        <w:ind w:left="360" w:hanging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6. ГОСТ Р ИСО 21500–2014. Руководство по проектному менеджменту : национальный стандарт Российской Федерации : издание официальное. – Москва : Стандартинформ, [уточнить: год издания и объём].</w:t>
      </w:r>
    </w:p>
    <w:p>
      <w:pPr>
        <w:spacing w:after="80" w:before="0" w:line="276"/>
        <w:ind w:left="360" w:hanging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7. ГОСТ Р 54869–2011. Проектный менеджмент. Требования к управлению проектом : национальный стандарт Российской Федерации : издание официальное. – Москва : Стандартинформ, [уточнить: год издания и объём].</w:t>
      </w: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Дополнительная:</w:t>
      </w:r>
    </w:p>
    <w:p>
      <w:pPr>
        <w:spacing w:after="80" w:before="0" w:line="276"/>
        <w:ind w:left="360" w:hanging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8. Doran, G. T. There's a S.M.A.R.T. way to write management's goals and objectives / G. T. Doran // Management Review. – 1981. – Vol. 70, № 11. – P. 35–36.</w:t>
      </w:r>
    </w:p>
    <w:p>
      <w:pPr>
        <w:spacing w:after="80" w:before="0" w:line="276"/>
        <w:ind w:left="360" w:hanging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9. Tuckman, B. W. Developmental sequence in small groups / B. W. Tuckman // Psychological Bulletin. – 1965. – Vol. 63, № 6. – P. 384–399.</w:t>
      </w:r>
    </w:p>
    <w:p>
      <w:pPr>
        <w:spacing w:after="80" w:before="0" w:line="276"/>
        <w:ind w:left="360" w:hanging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10. Belbin, R. M. Management Teams : Why They Succeed or Fail / R. M. Belbin. – 3rd ed. – Oxford : Butterworth-Heinemann, 2010. – [уточнить: объём].</w:t>
      </w:r>
    </w:p>
    <w:p>
      <w:pPr>
        <w:spacing w:after="80" w:before="0" w:line="276"/>
        <w:ind w:left="360" w:hanging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11. Value Proposition Design / A. Osterwalder, Y. Pigneur, G. Bernarda, A. Smith. – Hoboken : Wiley, 2014. – [уточнить: объём].</w:t>
      </w: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Из действующих списков предлагается оставить издания 2022–2025 годов, доступные в ЭБС ГУАП, и убрать пособия, которые повторяют друг друга. [уточнить: что есть в библиотеке ГУАП].</w:t>
      </w:r>
    </w:p>
    <w:p>
      <w:pPr>
        <w:pBdr>
          <w:bottom w:val="single" w:color="999999" w:sz="6" w:space="4"/>
        </w:pBdr>
        <w:spacing w:after="140" w:before="3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6"/>
          <w:szCs w:val="26"/>
        </w:rPr>
        <w:t xml:space="preserve">10. ЭОР и программное обеспечение (таблицы 9, 10, 12)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ЭОР: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цифровая версия методических указаний с инструментами (паспорт, деревья, структура работ, диаграмма Ганта, реестр рисков, журнал) —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A1A1A"/>
          <w:sz w:val="20"/>
          <w:szCs w:val="20"/>
        </w:rPr>
        <w:t xml:space="preserve">fizikaguap.ru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или ЭИОС ГУАП [уточнить: где размещаем].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ПО: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офисный пакет (текст, таблицы, презентации); ProjectLibre или GanttProject — свободные программы для календарного плана и диаграммы Ганта; браузер. Можно работать на своих ноутбуках студентов.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Аудитория: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31-04а (проектор, доска); для практики 7 желателен компьютерный класс или ноутбуки.</w:t>
      </w:r>
    </w:p>
    <w:p>
      <w:pPr>
        <w:pBdr>
          <w:bottom w:val="single" w:color="999999" w:sz="6" w:space="4"/>
        </w:pBdr>
        <w:spacing w:after="140" w:before="3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6"/>
          <w:szCs w:val="26"/>
        </w:rPr>
        <w:t xml:space="preserve">11. Оценочные средства (таблицы 13–18)</w:t>
      </w:r>
    </w:p>
    <w:p>
      <w:pPr>
        <w:spacing w:after="90" w:before="2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11.1. Распределение 100 баллов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3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Контроль</w:t>
            </w:r>
          </w:p>
        </w:tc>
        <w:tc>
          <w:tcPr>
            <w:tcW w:type="pct" w:w="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Неделя</w:t>
            </w:r>
          </w:p>
        </w:tc>
        <w:tc>
          <w:tcPr>
            <w:tcW w:type="pct" w:w="5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Что предъявляется</w:t>
            </w:r>
          </w:p>
        </w:tc>
        <w:tc>
          <w:tcPr>
            <w:tcW w:type="pct" w:w="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Баллы</w:t>
            </w:r>
          </w:p>
        </w:tc>
      </w:tr>
      <w:tr>
        <w:tc>
          <w:tcPr>
            <w:tcW w:type="pct" w:w="3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Веха «Паспорт»</w:t>
            </w:r>
          </w:p>
        </w:tc>
        <w:tc>
          <w:tcPr>
            <w:tcW w:type="pct" w:w="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4</w:t>
            </w:r>
          </w:p>
        </w:tc>
        <w:tc>
          <w:tcPr>
            <w:tcW w:type="pct" w:w="5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паспорт с матрицей заинтересованных сторон</w:t>
            </w:r>
          </w:p>
        </w:tc>
        <w:tc>
          <w:tcPr>
            <w:tcW w:type="pct" w:w="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pct" w:w="3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Тест 1 «Инициация»</w:t>
            </w:r>
          </w:p>
        </w:tc>
        <w:tc>
          <w:tcPr>
            <w:tcW w:type="pct" w:w="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6</w:t>
            </w:r>
          </w:p>
        </w:tc>
        <w:tc>
          <w:tcPr>
            <w:tcW w:type="pct" w:w="5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15 минут; треть — открытые вопросы по своему проекту</w:t>
            </w:r>
          </w:p>
        </w:tc>
        <w:tc>
          <w:tcPr>
            <w:tcW w:type="pct" w:w="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pct" w:w="3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Веха «План»</w:t>
            </w:r>
          </w:p>
        </w:tc>
        <w:tc>
          <w:tcPr>
            <w:tcW w:type="pct" w:w="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8–9</w:t>
            </w:r>
          </w:p>
        </w:tc>
        <w:tc>
          <w:tcPr>
            <w:tcW w:type="pct" w:w="5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структура работ, диаграмма Ганта, смета, реестр рисков одним документом</w:t>
            </w:r>
          </w:p>
        </w:tc>
        <w:tc>
          <w:tcPr>
            <w:tcW w:type="pct" w:w="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pct" w:w="3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Веха «Чекпоинт»</w:t>
            </w:r>
          </w:p>
        </w:tc>
        <w:tc>
          <w:tcPr>
            <w:tcW w:type="pct" w:w="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12</w:t>
            </w:r>
          </w:p>
        </w:tc>
        <w:tc>
          <w:tcPr>
            <w:tcW w:type="pct" w:w="5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журнал проекта, сверка плана с фактом</w:t>
            </w:r>
          </w:p>
        </w:tc>
        <w:tc>
          <w:tcPr>
            <w:tcW w:type="pct" w:w="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pct" w:w="3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Тест 2 «Планирование и контроль»</w:t>
            </w:r>
          </w:p>
        </w:tc>
        <w:tc>
          <w:tcPr>
            <w:tcW w:type="pct" w:w="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13</w:t>
            </w:r>
          </w:p>
        </w:tc>
        <w:tc>
          <w:tcPr>
            <w:tcW w:type="pct" w:w="5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15 минут; треть — открытые вопросы</w:t>
            </w:r>
          </w:p>
        </w:tc>
        <w:tc>
          <w:tcPr>
            <w:tcW w:type="pct" w:w="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pct" w:w="3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Защита</w:t>
            </w:r>
          </w:p>
        </w:tc>
        <w:tc>
          <w:tcPr>
            <w:tcW w:type="pct" w:w="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17</w:t>
            </w:r>
          </w:p>
        </w:tc>
        <w:tc>
          <w:tcPr>
            <w:tcW w:type="pct" w:w="5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отчёт и питч перед комиссией</w:t>
            </w:r>
          </w:p>
        </w:tc>
        <w:tc>
          <w:tcPr>
            <w:tcW w:type="pct" w:w="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50</w:t>
            </w:r>
          </w:p>
        </w:tc>
      </w:tr>
      <w:tr>
        <w:tc>
          <w:tcPr>
            <w:tcW w:type="pct" w:w="3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Итого</w:t>
            </w:r>
          </w:p>
        </w:tc>
        <w:tc>
          <w:tcPr>
            <w:tcW w:type="pct" w:w="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5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</w:p>
        </w:tc>
        <w:tc>
          <w:tcPr>
            <w:tcW w:type="pct" w:w="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100</w:t>
            </w:r>
          </w:p>
        </w:tc>
      </w:tr>
    </w:tbl>
    <w:p>
      <w:pPr>
        <w:spacing w:after="140"/>
      </w:pP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Сроки вех согласованы с неделями подведения итогов текущего контроля (СМК 3.76, п. 3.7).</w:t>
      </w:r>
    </w:p>
    <w:p>
      <w:pPr>
        <w:spacing w:after="90" w:before="2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11.2. Правила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Зачёт: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не меньше [уточнить: пороговый балл по ЛНА ГУАП о балльно-рейтинговой системе] баллов при обязательной защите проекта. Без защиты зачёт не выставляется. Шкала курса 85 / 70 / 55 используется для обратной связи; соответствие ЛНА проверить.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Индивидуальный балл за командную работу: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балл команды за веху умножается на коэффициент участия от 0,8 до 1,2. Коэффициент выводится из взаимной оценки внутри команды (по методике WebPA) и личного ответа на защите.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Вторая версия.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Лист, сданный к вехе, можно доработать по замечаниям один раз до следующей вехи. Засчитывается лучший результат. Это поддерживает принцип курса: первая попытка, разбор, вторая версия.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Правила учёта текущего контроля и требования к допуску сообщаются студентам на первом занятии (СМК 3.76, п. 3.14).</w:t>
      </w:r>
    </w:p>
    <w:p>
      <w:pPr>
        <w:spacing w:after="90" w:before="2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11.3. Критерии (кратко; рубрики — приложение к методическим указаниям)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Артефакт</w:t>
            </w:r>
          </w:p>
        </w:tc>
        <w:tc>
          <w:tcPr>
            <w:tcW w:type="pct" w:w="8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Что проверяется</w:t>
            </w:r>
          </w:p>
        </w:tc>
      </w:tr>
      <w:tr>
        <w:tc>
          <w:tcPr>
            <w:tcW w:type="pct" w:w="1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Паспорт</w:t>
            </w:r>
          </w:p>
        </w:tc>
        <w:tc>
          <w:tcPr>
            <w:tcW w:type="pct" w:w="8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проблема и её владелец названы; результат проверяем и имеет форму предъявления; границы записаны; критерии успеха измеримы; заинтересованные стороны со стратегиями</w:t>
            </w:r>
          </w:p>
        </w:tc>
      </w:tr>
      <w:tr>
        <w:tc>
          <w:tcPr>
            <w:tcW w:type="pct" w:w="1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План</w:t>
            </w:r>
          </w:p>
        </w:tc>
        <w:tc>
          <w:tcPr>
            <w:tcW w:type="pct" w:w="8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структура работ по правилу 100 %, с «отчётом и защитой» и «управлением проектом»; у пакетов один ответственный и длительность; критический путь посчитан; риски с владельцами и ответами</w:t>
            </w:r>
          </w:p>
        </w:tc>
      </w:tr>
      <w:tr>
        <w:tc>
          <w:tcPr>
            <w:tcW w:type="pct" w:w="1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Чекпоинт</w:t>
            </w:r>
          </w:p>
        </w:tc>
        <w:tc>
          <w:tcPr>
            <w:tcW w:type="pct" w:w="8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журнал ведётся каждую неделю; отклонения названы, причины объяснены, план скорректирован</w:t>
            </w:r>
          </w:p>
        </w:tc>
      </w:tr>
      <w:tr>
        <w:tc>
          <w:tcPr>
            <w:tcW w:type="pct" w:w="1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Защита</w:t>
            </w:r>
          </w:p>
        </w:tc>
        <w:tc>
          <w:tcPr>
            <w:tcW w:type="pct" w:w="8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результат сверен с критериями успеха; питч в регламенте; каждый член команды отвечает на вопросы о своей части; названы извлечённые уроки</w:t>
            </w:r>
          </w:p>
        </w:tc>
      </w:tr>
    </w:tbl>
    <w:p>
      <w:pPr>
        <w:spacing w:after="140"/>
      </w:pPr>
    </w:p>
    <w:p>
      <w:pPr>
        <w:spacing w:after="90" w:before="2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11.4. Фонд тестовых заданий</w:t>
      </w: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Вместо банка из 100 заданий (ОПДВП) и 40 вопросов зачёта (ОПД) — вопросы двух тестов курса по пройденным темам: закрытые на понятия и открытые по проекту своей команды. Кейсы по физике и технологиям из действующего банка можно оставить как материал для поиска проблемы в дереве проблем.</w:t>
      </w:r>
    </w:p>
    <w:p>
      <w:pPr>
        <w:pBdr>
          <w:bottom w:val="single" w:color="999999" w:sz="6" w:space="4"/>
        </w:pBdr>
        <w:spacing w:after="140" w:before="3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6"/>
          <w:szCs w:val="26"/>
        </w:rPr>
        <w:t xml:space="preserve">12. Методические указания для обучающихся (раздел 11 РПД)</w:t>
      </w: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Предлагаемый текст вместо шаблонного:</w:t>
      </w:r>
    </w:p>
    <w:p>
      <w:pPr>
        <w:pBdr>
          <w:top w:val="single" w:color="B3B3B3" w:sz="4" w:space="4"/>
          <w:bottom w:val="single" w:color="B3B3B3" w:sz="4" w:space="4"/>
          <w:left w:val="single" w:color="B3B3B3" w:sz="4" w:space="8"/>
          <w:right w:val="single" w:color="B3B3B3" w:sz="4" w:space="8"/>
        </w:pBdr>
        <w:shd w:fill="E8E8E8" w:color="auto" w:val="clear"/>
        <w:spacing w:after="160" w:before="8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Дисциплина построена вокруг командного проекта, который команда из 3–4 студентов ведёт весь семестр — от проблемы до защиты. Каждое занятие начинается с короткой лекционной части (15–30 минут). Затем команды применяют новый инструмент к своему проекту, преподаватель разбирает первые результаты, и команда дома готовит вторую версию листа. Выход каждого шага — вход следующего: паспорт → деревья проблем и целей → структура работ → календарный план → риски → журнал → отчёт → защита. К каждому шагу есть глава методических указаний (зачем шаг нужен, порядок действий, пример, типичные ошибки, самопроверка), бланк в рабочей тетради и инструмент в цифровой версии. Самостоятельная работа — это прежде всего работа над проектом: разговоры с пользователями, вторые версии листов, прототип, журнал. Все артефакты загружаются в ЭИОС ГУАП.</w:t>
      </w:r>
    </w:p>
    <w:p>
      <w:pPr>
        <w:pBdr>
          <w:bottom w:val="single" w:color="999999" w:sz="6" w:space="4"/>
        </w:pBdr>
        <w:spacing w:after="140" w:before="3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6"/>
          <w:szCs w:val="26"/>
        </w:rPr>
        <w:t xml:space="preserve">13. Что меняет не автор РПД — вопросы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6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Вопрос</w:t>
            </w:r>
          </w:p>
        </w:tc>
        <w:tc>
          <w:tcPr>
            <w:tcW w:type="pct" w:w="39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Кто решает</w:t>
            </w:r>
          </w:p>
        </w:tc>
      </w:tr>
      <w:tr>
        <w:tc>
          <w:tcPr>
            <w:tcW w:type="pct" w:w="6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Перенос ОПД на 1 курс, семестр, вид аттестации, трудоёмкость</w:t>
            </w:r>
          </w:p>
        </w:tc>
        <w:tc>
          <w:tcPr>
            <w:tcW w:type="pct" w:w="39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учебный план, руководитель ОП</w:t>
            </w:r>
          </w:p>
        </w:tc>
      </w:tr>
      <w:tr>
        <w:tc>
          <w:tcPr>
            <w:tcW w:type="pct" w:w="6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Набор компетенций: ОПДВП, ОПД или объединение; ПК-4</w:t>
            </w:r>
          </w:p>
        </w:tc>
        <w:tc>
          <w:tcPr>
            <w:tcW w:type="pct" w:w="39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руководитель ОП</w:t>
            </w:r>
          </w:p>
        </w:tc>
      </w:tr>
      <w:tr>
        <w:tc>
          <w:tcPr>
            <w:tcW w:type="pct" w:w="6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Лекции в расписании: отдельно или внутри пары</w:t>
            </w:r>
          </w:p>
        </w:tc>
        <w:tc>
          <w:tcPr>
            <w:tcW w:type="pct" w:w="39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учебный отдел</w:t>
            </w:r>
          </w:p>
        </w:tc>
      </w:tr>
      <w:tr>
        <w:tc>
          <w:tcPr>
            <w:tcW w:type="pct" w:w="6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Пороговый балл зачёта и шкала</w:t>
            </w:r>
          </w:p>
        </w:tc>
        <w:tc>
          <w:tcPr>
            <w:tcW w:type="pct" w:w="39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ЛНА ГУАП о балльно-рейтинговой системе</w:t>
            </w:r>
          </w:p>
        </w:tc>
      </w:tr>
      <w:tr>
        <w:tc>
          <w:tcPr>
            <w:tcW w:type="pct" w:w="6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Сохраняется ли ОПДВП как отдельная дисциплина</w:t>
            </w:r>
          </w:p>
        </w:tc>
        <w:tc>
          <w:tcPr>
            <w:tcW w:type="pct" w:w="39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учебный план</w:t>
            </w:r>
          </w:p>
        </w:tc>
      </w:tr>
    </w:tbl>
    <w:p>
      <w:pPr>
        <w:spacing w:after="140"/>
      </w:pPr>
    </w:p>
    <w:p>
      <w:pPr>
        <w:pBdr>
          <w:bottom w:val="single" w:color="999999" w:sz="6" w:space="4"/>
        </w:pBdr>
        <w:spacing w:after="140" w:before="3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6"/>
          <w:szCs w:val="26"/>
        </w:rPr>
        <w:t xml:space="preserve">14. Источники для составителя</w:t>
      </w:r>
    </w:p>
    <w:p>
      <w:pPr>
        <w:spacing w:after="80" w:before="0" w:line="276"/>
        <w:ind w:left="360" w:hanging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1. РПД «Основы проектной деятельности», 03.03.01, 2025 (утверждена 03.02.2025).</w:t>
      </w:r>
    </w:p>
    <w:p>
      <w:pPr>
        <w:spacing w:after="80" w:before="0" w:line="276"/>
        <w:ind w:left="360" w:hanging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2. РПД «Основы проектной деятельности в профессии», 03.03.01, год приёма 2026 (утверждена 10.02.2026).</w:t>
      </w:r>
    </w:p>
    <w:p>
      <w:pPr>
        <w:spacing w:after="80" w:before="0" w:line="276"/>
        <w:ind w:left="360" w:hanging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3. РДО ГУАП СМК 3.76. Положение о текущем контроле успеваемости и промежуточной аттестации обучающихся. 2024.</w:t>
      </w:r>
    </w:p>
    <w:p>
      <w:pPr>
        <w:spacing w:after="80" w:before="0" w:line="276"/>
        <w:ind w:left="360" w:hanging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4. Концепция методических указаний и разбор РПД: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A1A1A"/>
          <w:sz w:val="20"/>
          <w:szCs w:val="20"/>
        </w:rPr>
        <w:t xml:space="preserve">docs/Metodichka_Koncepciya.md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, раздел 9.</w:t>
      </w:r>
    </w:p>
    <w:p>
      <w:pPr>
        <w:spacing w:after="80" w:before="0" w:line="276"/>
        <w:ind w:left="360" w:hanging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5. Понедельный план курса осени 2026: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A1A1A"/>
          <w:sz w:val="20"/>
          <w:szCs w:val="20"/>
        </w:rPr>
        <w:t xml:space="preserve">PLAN.md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docs/metodichka/rpd/RPD_2027_OPD_1kurs_chernovik.docx</dc:title>
  <dc:creator>ГУАП · Кафедра № 3</dc:creator>
  <cp:lastModifiedBy>Un-named</cp:lastModifiedBy>
  <cp:revision>1</cp:revision>
  <dcterms:created xsi:type="dcterms:W3CDTF">2026-10-17T21:46:39.586Z</dcterms:created>
  <dcterms:modified xsi:type="dcterms:W3CDTF">2026-10-17T21:46:39.588Z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