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88"/>
      </w:pPr>
      <w:r>
        <w:rPr>
          <w:rFonts w:ascii="Arial" w:cs="Arial" w:eastAsia="Arial" w:hAnsi="Arial"/>
          <w:color w:val="5B6B7D"/>
          <w:sz w:val="18"/>
          <w:szCs w:val="18"/>
        </w:rPr>
        <w:t xml:space="preserve">ГУАП · Кафедра № 3 · курс проектной деятельности</w:t>
      </w:r>
    </w:p>
    <w:p>
      <w:pPr>
        <w:spacing w:after="160" w:before="0" w:line="288"/>
      </w:pPr>
      <w:r>
        <w:rPr>
          <w:rFonts w:ascii="Arial" w:cs="Arial" w:eastAsia="Arial" w:hAnsi="Arial"/>
          <w:i/>
          <w:iCs/>
          <w:color w:val="5B6B7D"/>
          <w:sz w:val="18"/>
          <w:szCs w:val="18"/>
        </w:rPr>
        <w:t xml:space="preserve">Методические указания к практическому занятию</w:t>
      </w:r>
    </w:p>
    <w:p>
      <w:pPr>
        <w:pBdr>
          <w:bottom w:val="single" w:color="005AAA" w:sz="14" w:space="6"/>
        </w:pBdr>
        <w:spacing w:after="8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Практика 2. Паспорт проекта</w:t>
      </w:r>
    </w:p>
    <w:p>
      <w:pPr>
        <w:spacing w:after="30" w:before="0" w:line="288"/>
      </w:pPr>
      <w:r>
        <w:rPr>
          <w:rFonts w:ascii="Arial" w:cs="Arial" w:eastAsia="Arial" w:hAnsi="Arial"/>
          <w:color w:val="5B6B7D"/>
          <w:sz w:val="19"/>
          <w:szCs w:val="19"/>
        </w:rPr>
        <w:t xml:space="preserve">Дисциплина: Основы проектной деятельности / Основы проектной деятельности в профессии</w:t>
      </w:r>
    </w:p>
    <w:p>
      <w:pPr>
        <w:spacing w:after="200" w:before="0" w:line="288"/>
      </w:pPr>
      <w:r>
        <w:rPr>
          <w:rFonts w:ascii="Arial" w:cs="Arial" w:eastAsia="Arial" w:hAnsi="Arial"/>
          <w:color w:val="5B6B7D"/>
          <w:sz w:val="19"/>
          <w:szCs w:val="19"/>
        </w:rPr>
        <w:t xml:space="preserve">Место в курсе: вторая половина занятия 3 (19.09.2026), 45 минут. Практика 2 из семи по дорожной карте вводной лекции. Шаг 7 фазы инициации</w:t>
      </w:r>
    </w:p>
    <w:p>
      <w:pPr>
        <w:pBdr>
          <w:bottom w:val="single" w:color="005AAA" w:sz="12" w:space="6"/>
        </w:pBdr>
        <w:spacing w:after="140" w:before="320"/>
      </w:pPr>
      <w:r>
        <w:rPr>
          <w:rFonts w:ascii="Arial" w:cs="Arial" w:eastAsia="Arial" w:hAnsi="Arial"/>
          <w:b/>
          <w:bCs/>
          <w:color w:val="005AAA"/>
          <w:sz w:val="27"/>
          <w:szCs w:val="27"/>
        </w:rPr>
        <w:t xml:space="preserve">Связь с первой половиной пары</w:t>
      </w:r>
    </w:p>
    <w:p>
      <w:pPr>
        <w:spacing w:after="140" w:before="0" w:line="288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Первая половина занятия разбирала сложности, встретившиеся на практике 1: почему трудно сузить адресата, почему казалось, что альтернативы нет, откуда берётся число в букве M. Разбор отвечал на вопрос «почему так, а не иначе».</w:t>
      </w:r>
    </w:p>
    <w:p>
      <w:pPr>
        <w:spacing w:after="140" w:before="0" w:line="288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Вторая половина отвечает на другой вопрос — «куда это всё складывается». Ценностное предложение и SMART-цель не являются самостоятельными упражнениями: это разделы 3 и 4 паспорта проекта, документа, которым фаза инициации завершается. Сегодня студенты впервые видят целое, частями которого были оба листа.</w:t>
      </w:r>
    </w:p>
    <w:p>
      <w:pPr>
        <w:spacing w:after="140" w:before="0" w:line="288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Методическое следствие: начинать вторую половину нужно именно со связки, а не с нового определения. Если этого не сделать, паспорт воспримется как ещё одна форма для заполнения — то самое ощущение формальности, которое разбиралось в первой половине как сложность номер пять.</w:t>
      </w:r>
    </w:p>
    <w:p>
      <w:pPr>
        <w:pBdr>
          <w:bottom w:val="single" w:color="005AAA" w:sz="12" w:space="6"/>
        </w:pBdr>
        <w:spacing w:after="140" w:before="320"/>
      </w:pPr>
      <w:r>
        <w:rPr>
          <w:rFonts w:ascii="Arial" w:cs="Arial" w:eastAsia="Arial" w:hAnsi="Arial"/>
          <w:b/>
          <w:bCs/>
          <w:color w:val="005AAA"/>
          <w:sz w:val="27"/>
          <w:szCs w:val="27"/>
        </w:rPr>
        <w:t xml:space="preserve">Цель занятия</w:t>
      </w:r>
    </w:p>
    <w:p>
      <w:pPr>
        <w:spacing w:after="100" w:before="0" w:line="288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 итогам занятия студент должен:</w:t>
      </w:r>
    </w:p>
    <w:p>
      <w:pPr>
        <w:spacing w:after="90" w:line="288"/>
        <w:ind w:left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знать: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формальное определение устава (паспорта) проекта и состав его разделов; различие между целью и результатом проекта (deliverable); понятие границ содержания проекта и критериев успеха</w:t>
      </w:r>
    </w:p>
    <w:p>
      <w:pPr>
        <w:spacing w:after="90" w:line="288"/>
        <w:ind w:left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уметь: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переносить в паспорт готовые формулировки из листов 1 и 2; формулировать предъявляемый результат по датам, границы проекта в форме отказа и критерии успеха в форме проверки «да / нет»</w:t>
      </w:r>
    </w:p>
    <w:p>
      <w:pPr>
        <w:spacing w:after="90" w:line="288"/>
        <w:ind w:left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владеть: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навыком заполнения проектного документа, пригодного к внешней экспертизе</w:t>
      </w:r>
    </w:p>
    <w:p>
      <w:pPr>
        <w:spacing w:after="100" w:before="23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Формируемый артефакт</w:t>
      </w:r>
    </w:p>
    <w:p>
      <w:pPr>
        <w:spacing w:after="140" w:before="0" w:line="288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Заполненный бланк паспорта проекта (`Zanyatie_03_Praktika2_Pasport_Blank.docx`), разделы 1–10. Раздел 11 «Стейкхолдеры» добавляется 26.09 на практике 3, после чего паспорт подписывается командой и тема считается зафиксированной.</w:t>
      </w:r>
    </w:p>
    <w:p>
      <w:pPr>
        <w:pBdr>
          <w:bottom w:val="single" w:color="005AAA" w:sz="12" w:space="6"/>
        </w:pBdr>
        <w:spacing w:after="140" w:before="320"/>
      </w:pPr>
      <w:r>
        <w:rPr>
          <w:rFonts w:ascii="Arial" w:cs="Arial" w:eastAsia="Arial" w:hAnsi="Arial"/>
          <w:b/>
          <w:bCs/>
          <w:color w:val="005AAA"/>
          <w:sz w:val="27"/>
          <w:szCs w:val="27"/>
        </w:rPr>
        <w:t xml:space="preserve">Оснащение занятия</w:t>
      </w:r>
    </w:p>
    <w:p>
      <w:pPr>
        <w:spacing w:after="90" w:line="288"/>
        <w:ind w:left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—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Бланк паспорта проекта — по одному на команду, распечатан заранее.</w:t>
      </w:r>
    </w:p>
    <w:p>
      <w:pPr>
        <w:spacing w:after="90" w:line="288"/>
        <w:ind w:left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—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Листы 1 и 2 с практики 1 — у студентов на руках, без них перенос невозможен.</w:t>
      </w:r>
    </w:p>
    <w:p>
      <w:pPr>
        <w:spacing w:after="90" w:line="288"/>
        <w:ind w:left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—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Доска для двух совместных разборов (разделы 5 и 6).</w:t>
      </w:r>
    </w:p>
    <w:p>
      <w:pPr>
        <w:pBdr>
          <w:bottom w:val="single" w:color="005AAA" w:sz="12" w:space="6"/>
        </w:pBdr>
        <w:spacing w:after="140" w:before="320"/>
      </w:pPr>
      <w:r>
        <w:rPr>
          <w:rFonts w:ascii="Arial" w:cs="Arial" w:eastAsia="Arial" w:hAnsi="Arial"/>
          <w:b/>
          <w:bCs/>
          <w:color w:val="005AAA"/>
          <w:sz w:val="27"/>
          <w:szCs w:val="27"/>
        </w:rPr>
        <w:t xml:space="preserve">План занятия и хронометраж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005AAA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Мин</w:t>
            </w:r>
          </w:p>
        </w:tc>
        <w:tc>
          <w:tcPr>
            <w:tcW w:type="pct" w:w="58%"/>
            <w:shd w:fill="005AAA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Этап</w:t>
            </w:r>
          </w:p>
        </w:tc>
        <w:tc>
          <w:tcPr>
            <w:tcW w:type="pct" w:w="32%"/>
            <w:shd w:fill="005AAA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Форма работы</w:t>
            </w:r>
          </w:p>
        </w:tc>
      </w:tr>
      <w:tr>
        <w:trPr>
          <w:trHeight w:val="0" w:hRule="atLeast"/>
        </w:trPr>
        <w:tc>
          <w:tcPr>
            <w:tcW w:type="pct" w:w="10%"/>
            <w:shd w:fill="FFFFFF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0–3</w:t>
            </w:r>
          </w:p>
        </w:tc>
        <w:tc>
          <w:tcPr>
            <w:tcW w:type="pct" w:w="58%"/>
            <w:shd w:fill="FFFFFF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Связка с первой половиной: куда складываются оба листа</w:t>
            </w:r>
          </w:p>
        </w:tc>
        <w:tc>
          <w:tcPr>
            <w:tcW w:type="pct" w:w="32%"/>
            <w:shd w:fill="FFFFFF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Фронтально</w:t>
            </w:r>
          </w:p>
        </w:tc>
      </w:tr>
      <w:tr>
        <w:trPr>
          <w:trHeight w:val="0" w:hRule="atLeast"/>
        </w:trPr>
        <w:tc>
          <w:tcPr>
            <w:tcW w:type="pct" w:w="10%"/>
            <w:shd w:fill="F2F2F2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3–7</w:t>
            </w:r>
          </w:p>
        </w:tc>
        <w:tc>
          <w:tcPr>
            <w:tcW w:type="pct" w:w="58%"/>
            <w:shd w:fill="F2F2F2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Паспорт проекта: определение, три функции</w:t>
            </w:r>
          </w:p>
        </w:tc>
        <w:tc>
          <w:tcPr>
            <w:tcW w:type="pct" w:w="32%"/>
            <w:shd w:fill="F2F2F2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Изложение</w:t>
            </w:r>
          </w:p>
        </w:tc>
      </w:tr>
      <w:tr>
        <w:trPr>
          <w:trHeight w:val="0" w:hRule="atLeast"/>
        </w:trPr>
        <w:tc>
          <w:tcPr>
            <w:tcW w:type="pct" w:w="10%"/>
            <w:shd w:fill="FFFFFF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7–11</w:t>
            </w:r>
          </w:p>
        </w:tc>
        <w:tc>
          <w:tcPr>
            <w:tcW w:type="pct" w:w="58%"/>
            <w:shd w:fill="FFFFFF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Состав паспорта: что переносится, что заполняется впервые</w:t>
            </w:r>
          </w:p>
        </w:tc>
        <w:tc>
          <w:tcPr>
            <w:tcW w:type="pct" w:w="32%"/>
            <w:shd w:fill="FFFFFF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Изложение</w:t>
            </w:r>
          </w:p>
        </w:tc>
      </w:tr>
      <w:tr>
        <w:trPr>
          <w:trHeight w:val="0" w:hRule="atLeast"/>
        </w:trPr>
        <w:tc>
          <w:tcPr>
            <w:tcW w:type="pct" w:w="10%"/>
            <w:shd w:fill="F2F2F2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11–16</w:t>
            </w:r>
          </w:p>
        </w:tc>
        <w:tc>
          <w:tcPr>
            <w:tcW w:type="pct" w:w="58%"/>
            <w:shd w:fill="F2F2F2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Раздел 5 «Результат»: разбор на доске</w:t>
            </w:r>
          </w:p>
        </w:tc>
        <w:tc>
          <w:tcPr>
            <w:tcW w:type="pct" w:w="32%"/>
            <w:shd w:fill="F2F2F2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Доска + зал</w:t>
            </w:r>
          </w:p>
        </w:tc>
      </w:tr>
      <w:tr>
        <w:trPr>
          <w:trHeight w:val="0" w:hRule="atLeast"/>
        </w:trPr>
        <w:tc>
          <w:tcPr>
            <w:tcW w:type="pct" w:w="10%"/>
            <w:shd w:fill="FFFFFF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16–20</w:t>
            </w:r>
          </w:p>
        </w:tc>
        <w:tc>
          <w:tcPr>
            <w:tcW w:type="pct" w:w="58%"/>
            <w:shd w:fill="FFFFFF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Раздел 6 «Границы»: разбор на доске</w:t>
            </w:r>
          </w:p>
        </w:tc>
        <w:tc>
          <w:tcPr>
            <w:tcW w:type="pct" w:w="32%"/>
            <w:shd w:fill="FFFFFF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Доска + зал</w:t>
            </w:r>
          </w:p>
        </w:tc>
      </w:tr>
      <w:tr>
        <w:trPr>
          <w:trHeight w:val="0" w:hRule="atLeast"/>
        </w:trPr>
        <w:tc>
          <w:tcPr>
            <w:tcW w:type="pct" w:w="10%"/>
            <w:shd w:fill="F2F2F2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20–24</w:t>
            </w:r>
          </w:p>
        </w:tc>
        <w:tc>
          <w:tcPr>
            <w:tcW w:type="pct" w:w="58%"/>
            <w:shd w:fill="F2F2F2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Разделы 7 и 9: ресурсы и критерии успеха</w:t>
            </w:r>
          </w:p>
        </w:tc>
        <w:tc>
          <w:tcPr>
            <w:tcW w:type="pct" w:w="32%"/>
            <w:shd w:fill="F2F2F2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Изложение с примером</w:t>
            </w:r>
          </w:p>
        </w:tc>
      </w:tr>
      <w:tr>
        <w:trPr>
          <w:trHeight w:val="0" w:hRule="atLeast"/>
        </w:trPr>
        <w:tc>
          <w:tcPr>
            <w:tcW w:type="pct" w:w="10%"/>
            <w:shd w:fill="FFFFFF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24–38</w:t>
            </w:r>
          </w:p>
        </w:tc>
        <w:tc>
          <w:tcPr>
            <w:tcW w:type="pct" w:w="58%"/>
            <w:shd w:fill="FFFFFF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Заполнение бланка</w:t>
            </w:r>
          </w:p>
        </w:tc>
        <w:tc>
          <w:tcPr>
            <w:tcW w:type="pct" w:w="32%"/>
            <w:shd w:fill="FFFFFF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Команды</w:t>
            </w:r>
          </w:p>
        </w:tc>
      </w:tr>
      <w:tr>
        <w:trPr>
          <w:trHeight w:val="0" w:hRule="atLeast"/>
        </w:trPr>
        <w:tc>
          <w:tcPr>
            <w:tcW w:type="pct" w:w="10%"/>
            <w:shd w:fill="F2F2F2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38–43</w:t>
            </w:r>
          </w:p>
        </w:tc>
        <w:tc>
          <w:tcPr>
            <w:tcW w:type="pct" w:w="58%"/>
            <w:shd w:fill="F2F2F2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Обмен паспортами: три вопроса</w:t>
            </w:r>
          </w:p>
        </w:tc>
        <w:tc>
          <w:tcPr>
            <w:tcW w:type="pct" w:w="32%"/>
            <w:shd w:fill="F2F2F2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Парный обмен</w:t>
            </w:r>
          </w:p>
        </w:tc>
      </w:tr>
      <w:tr>
        <w:trPr>
          <w:trHeight w:val="0" w:hRule="atLeast"/>
        </w:trPr>
        <w:tc>
          <w:tcPr>
            <w:tcW w:type="pct" w:w="10%"/>
            <w:shd w:fill="FFFFFF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43–45</w:t>
            </w:r>
          </w:p>
        </w:tc>
        <w:tc>
          <w:tcPr>
            <w:tcW w:type="pct" w:w="58%"/>
            <w:shd w:fill="FFFFFF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Задание к 26.09</w:t>
            </w:r>
          </w:p>
        </w:tc>
        <w:tc>
          <w:tcPr>
            <w:tcW w:type="pct" w:w="32%"/>
            <w:shd w:fill="FFFFFF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Фронтально</w:t>
            </w:r>
          </w:p>
        </w:tc>
      </w:tr>
    </w:tbl>
    <w:p>
      <w:pPr>
        <w:spacing w:after="140" w:before="0" w:line="288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Блок 24–38 не сокращается: он производит артефакт занятия. При нехватке времени сжимается блок 20–24 — ресурсы и критерии успеха команды дописывают дома.</w:t>
      </w:r>
    </w:p>
    <w:p>
      <w:pPr>
        <w:pBdr>
          <w:bottom w:val="single" w:color="005AAA" w:sz="12" w:space="6"/>
        </w:pBdr>
        <w:spacing w:after="140" w:before="320"/>
      </w:pPr>
      <w:r>
        <w:rPr>
          <w:rFonts w:ascii="Arial" w:cs="Arial" w:eastAsia="Arial" w:hAnsi="Arial"/>
          <w:b/>
          <w:bCs/>
          <w:color w:val="005AAA"/>
          <w:sz w:val="27"/>
          <w:szCs w:val="27"/>
        </w:rPr>
        <w:t xml:space="preserve">Этап 1 (0–3). Связка</w:t>
      </w:r>
    </w:p>
    <w:p>
      <w:pPr>
        <w:spacing w:after="140" w:before="0" w:line="288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Проговаривается вслух: два листа, с которыми команда работала неделю и которые сегодня разбирались, — это не отдельные упражнения, а разделы 3 и 4 документа, который мы начинаем сейчас. Ценностное предложение отвечает «зачем проект», SMART-цель — «что именно будет сделано», паспорт добавляет к этому «кем, к какому сроку, на какие ресурсы и по какому признаку признаём успех».</w:t>
      </w:r>
    </w:p>
    <w:p>
      <w:pPr>
        <w:pBdr>
          <w:bottom w:val="single" w:color="005AAA" w:sz="12" w:space="6"/>
        </w:pBdr>
        <w:spacing w:after="140" w:before="320"/>
      </w:pPr>
      <w:r>
        <w:rPr>
          <w:rFonts w:ascii="Arial" w:cs="Arial" w:eastAsia="Arial" w:hAnsi="Arial"/>
          <w:b/>
          <w:bCs/>
          <w:color w:val="005AAA"/>
          <w:sz w:val="27"/>
          <w:szCs w:val="27"/>
        </w:rPr>
        <w:t xml:space="preserve">Этап 2 (3–7). Определение и функции</w:t>
      </w:r>
    </w:p>
    <w:p>
      <w:pPr>
        <w:pBdr>
          <w:left w:val="single" w:color="005AAA" w:sz="20" w:space="9"/>
        </w:pBdr>
        <w:shd w:fill="F4F7FA" w:val="clear"/>
        <w:spacing w:after="140" w:before="100" w:line="288"/>
        <w:ind w:left="280"/>
      </w:pPr>
      <w:r>
        <w:rPr>
          <w:rFonts w:ascii="Arial" w:cs="Arial" w:eastAsia="Arial" w:hAnsi="Arial"/>
          <w:b/>
          <w:bCs/>
          <w:color w:val="005AAA"/>
          <w:sz w:val="21"/>
          <w:szCs w:val="21"/>
        </w:rPr>
        <w:t xml:space="preserve">Определение.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Устав проекта (project charter) — документ, изданный инициатором или спонсором проекта, официально авторизующий существование проекта и предоставляющий руководителю проекта полномочия использовать ресурсы организации для выполнения предусмотренных проектом операций. Источник: PMBOK Guide, Project Management Institute, процесс «Разработка устава проекта» группы процессов инициации. В настоящем курсе документ называется паспортом проекта.</w:t>
      </w:r>
    </w:p>
    <w:p>
      <w:pPr>
        <w:spacing w:after="140" w:before="0" w:line="288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Три функции, каждая из которых объясняет, зачем документ нужен команде, а не только преподавателю:</w:t>
      </w:r>
    </w:p>
    <w:p>
      <w:pPr>
        <w:spacing w:after="90" w:line="288"/>
        <w:ind w:left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Фиксация договорённостей. Устно принятое решение через месяц вспоминается участниками по-разному; записанное — перечитывается.</w:t>
      </w:r>
    </w:p>
    <w:p>
      <w:pPr>
        <w:spacing w:after="90" w:line="288"/>
        <w:ind w:left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Право начать работу. Подписанный паспорт есть решение go, восьмой шаг фазы инициации. До него проект формально не начат, после него тема не меняется.</w:t>
      </w:r>
    </w:p>
    <w:p>
      <w:pPr>
        <w:spacing w:after="90" w:line="288"/>
        <w:ind w:left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Заготовка внешнего документа. Разделы паспорта совпадают с разделами заявки в РНФ, «УМНИК», «Старт». Отличается объём, а не структура.</w:t>
      </w:r>
    </w:p>
    <w:p>
      <w:pPr>
        <w:spacing w:after="140" w:before="0" w:line="288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Принципиальное: паспорт составляется до начала работы. Документ, написанный задним числом, ничего не фиксирует — он лишь описывает то, что и так уже произошло.</w:t>
      </w:r>
    </w:p>
    <w:p>
      <w:pPr>
        <w:pBdr>
          <w:bottom w:val="single" w:color="005AAA" w:sz="12" w:space="6"/>
        </w:pBdr>
        <w:spacing w:after="140" w:before="320"/>
      </w:pPr>
      <w:r>
        <w:rPr>
          <w:rFonts w:ascii="Arial" w:cs="Arial" w:eastAsia="Arial" w:hAnsi="Arial"/>
          <w:b/>
          <w:bCs/>
          <w:color w:val="005AAA"/>
          <w:sz w:val="27"/>
          <w:szCs w:val="27"/>
        </w:rPr>
        <w:t xml:space="preserve">Этап 3 (7–11). Состав паспорта</w:t>
      </w:r>
    </w:p>
    <w:p>
      <w:pPr>
        <w:spacing w:after="140" w:before="0" w:line="288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Десять разделов, из которых пять переносятся из уже готовых материалов, один придумывается на месте, и четыре заполняются впервые. Это соотношение полезно назвать вслух: объём документа пугает, пока не видно, что половина уже написана.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005AAA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№</w:t>
            </w:r>
          </w:p>
        </w:tc>
        <w:tc>
          <w:tcPr>
            <w:tcW w:type="pct" w:w="53%"/>
            <w:shd w:fill="005AAA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Раздел</w:t>
            </w:r>
          </w:p>
        </w:tc>
        <w:tc>
          <w:tcPr>
            <w:tcW w:type="pct" w:w="40%"/>
            <w:shd w:fill="005AAA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Откуда берётся</w:t>
            </w:r>
          </w:p>
        </w:tc>
      </w:tr>
      <w:tr>
        <w:trPr>
          <w:trHeight w:val="0" w:hRule="atLeast"/>
        </w:trPr>
        <w:tc>
          <w:tcPr>
            <w:tcW w:type="pct" w:w="7%"/>
            <w:shd w:fill="FFFFFF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pct" w:w="53%"/>
            <w:shd w:fill="FFFFFF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Название проекта</w:t>
            </w:r>
          </w:p>
        </w:tc>
        <w:tc>
          <w:tcPr>
            <w:tcW w:type="pct" w:w="40%"/>
            <w:shd w:fill="FFFFFF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Формулируется на занятии</w:t>
            </w:r>
          </w:p>
        </w:tc>
      </w:tr>
      <w:tr>
        <w:trPr>
          <w:trHeight w:val="0" w:hRule="atLeast"/>
        </w:trPr>
        <w:tc>
          <w:tcPr>
            <w:tcW w:type="pct" w:w="7%"/>
            <w:shd w:fill="F2F2F2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pct" w:w="53%"/>
            <w:shd w:fill="F2F2F2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Команда и роли</w:t>
            </w:r>
          </w:p>
        </w:tc>
        <w:tc>
          <w:tcPr>
            <w:tcW w:type="pct" w:w="40%"/>
            <w:shd w:fill="F2F2F2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Роли названы 05.09</w:t>
            </w:r>
          </w:p>
        </w:tc>
      </w:tr>
      <w:tr>
        <w:trPr>
          <w:trHeight w:val="0" w:hRule="atLeast"/>
        </w:trPr>
        <w:tc>
          <w:tcPr>
            <w:tcW w:type="pct" w:w="7%"/>
            <w:shd w:fill="FFFFFF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pct" w:w="53%"/>
            <w:shd w:fill="FFFFFF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Проблема и ценностное предложение</w:t>
            </w:r>
          </w:p>
        </w:tc>
        <w:tc>
          <w:tcPr>
            <w:tcW w:type="pct" w:w="40%"/>
            <w:shd w:fill="FFFFFF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Лист 1</w:t>
            </w:r>
          </w:p>
        </w:tc>
      </w:tr>
      <w:tr>
        <w:trPr>
          <w:trHeight w:val="0" w:hRule="atLeast"/>
        </w:trPr>
        <w:tc>
          <w:tcPr>
            <w:tcW w:type="pct" w:w="7%"/>
            <w:shd w:fill="F2F2F2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pct" w:w="53%"/>
            <w:shd w:fill="F2F2F2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Цель проекта по SMART</w:t>
            </w:r>
          </w:p>
        </w:tc>
        <w:tc>
          <w:tcPr>
            <w:tcW w:type="pct" w:w="40%"/>
            <w:shd w:fill="F2F2F2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Лист 2</w:t>
            </w:r>
          </w:p>
        </w:tc>
      </w:tr>
      <w:tr>
        <w:trPr>
          <w:trHeight w:val="0" w:hRule="atLeast"/>
        </w:trPr>
        <w:tc>
          <w:tcPr>
            <w:tcW w:type="pct" w:w="7%"/>
            <w:shd w:fill="FFFFFF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pct" w:w="53%"/>
            <w:shd w:fill="FFFFFF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Результат: что предъявляем к 21.11 и к 26.12</w:t>
            </w:r>
          </w:p>
        </w:tc>
        <w:tc>
          <w:tcPr>
            <w:tcW w:type="pct" w:w="40%"/>
            <w:shd w:fill="FFFFFF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Заполняется впервые</w:t>
            </w:r>
          </w:p>
        </w:tc>
      </w:tr>
      <w:tr>
        <w:trPr>
          <w:trHeight w:val="0" w:hRule="atLeast"/>
        </w:trPr>
        <w:tc>
          <w:tcPr>
            <w:tcW w:type="pct" w:w="7%"/>
            <w:shd w:fill="F2F2F2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pct" w:w="53%"/>
            <w:shd w:fill="F2F2F2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Границы: что в проект не входит</w:t>
            </w:r>
          </w:p>
        </w:tc>
        <w:tc>
          <w:tcPr>
            <w:tcW w:type="pct" w:w="40%"/>
            <w:shd w:fill="F2F2F2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Заполняется впервые</w:t>
            </w:r>
          </w:p>
        </w:tc>
      </w:tr>
      <w:tr>
        <w:trPr>
          <w:trHeight w:val="0" w:hRule="atLeast"/>
        </w:trPr>
        <w:tc>
          <w:tcPr>
            <w:tcW w:type="pct" w:w="7%"/>
            <w:shd w:fill="FFFFFF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pct" w:w="53%"/>
            <w:shd w:fill="FFFFFF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Ресурсы</w:t>
            </w:r>
          </w:p>
        </w:tc>
        <w:tc>
          <w:tcPr>
            <w:tcW w:type="pct" w:w="40%"/>
            <w:shd w:fill="FFFFFF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Заполняется впервые</w:t>
            </w:r>
          </w:p>
        </w:tc>
      </w:tr>
      <w:tr>
        <w:trPr>
          <w:trHeight w:val="0" w:hRule="atLeast"/>
        </w:trPr>
        <w:tc>
          <w:tcPr>
            <w:tcW w:type="pct" w:w="7%"/>
            <w:shd w:fill="F2F2F2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pct" w:w="53%"/>
            <w:shd w:fill="F2F2F2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Ключевые даты</w:t>
            </w:r>
          </w:p>
        </w:tc>
        <w:tc>
          <w:tcPr>
            <w:tcW w:type="pct" w:w="40%"/>
            <w:shd w:fill="F2F2F2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С дорожной карты курса</w:t>
            </w:r>
          </w:p>
        </w:tc>
      </w:tr>
      <w:tr>
        <w:trPr>
          <w:trHeight w:val="0" w:hRule="atLeast"/>
        </w:trPr>
        <w:tc>
          <w:tcPr>
            <w:tcW w:type="pct" w:w="7%"/>
            <w:shd w:fill="FFFFFF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pct" w:w="53%"/>
            <w:shd w:fill="FFFFFF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Критерии успеха</w:t>
            </w:r>
          </w:p>
        </w:tc>
        <w:tc>
          <w:tcPr>
            <w:tcW w:type="pct" w:w="40%"/>
            <w:shd w:fill="FFFFFF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Заполняется впервые</w:t>
            </w:r>
          </w:p>
        </w:tc>
      </w:tr>
      <w:tr>
        <w:trPr>
          <w:trHeight w:val="0" w:hRule="atLeast"/>
        </w:trPr>
        <w:tc>
          <w:tcPr>
            <w:tcW w:type="pct" w:w="7%"/>
            <w:shd w:fill="F2F2F2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pct" w:w="53%"/>
            <w:shd w:fill="F2F2F2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Альтернатива — отклонённый концепт</w:t>
            </w:r>
          </w:p>
        </w:tc>
        <w:tc>
          <w:tcPr>
            <w:tcW w:type="pct" w:w="40%"/>
            <w:shd w:fill="F2F2F2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Лист 1</w:t>
            </w:r>
          </w:p>
        </w:tc>
      </w:tr>
    </w:tbl>
    <w:p>
      <w:pPr>
        <w:pBdr>
          <w:bottom w:val="single" w:color="005AAA" w:sz="12" w:space="6"/>
        </w:pBdr>
        <w:spacing w:after="140" w:before="320"/>
      </w:pPr>
      <w:r>
        <w:rPr>
          <w:rFonts w:ascii="Arial" w:cs="Arial" w:eastAsia="Arial" w:hAnsi="Arial"/>
          <w:b/>
          <w:bCs/>
          <w:color w:val="005AAA"/>
          <w:sz w:val="27"/>
          <w:szCs w:val="27"/>
        </w:rPr>
        <w:t xml:space="preserve">Этап 4 (11–16). Раздел 5 «Результат»: разбор на доске</w:t>
      </w:r>
    </w:p>
    <w:p>
      <w:pPr>
        <w:spacing w:after="140" w:before="0" w:line="288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Ключевое различение этапа: цель и результат не совпадают. Цель отвечает на вопрос, как будет, когда работа завершится. Результат (deliverable) — это предмет, документ или набор данных, который физически передаётся другому лицу.</w:t>
      </w:r>
    </w:p>
    <w:p>
      <w:pPr>
        <w:spacing w:after="140" w:before="0" w:line="288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Операциональная проверка: результат можно передать. «Работающий макет» передаётся, «протокол измерений» передаётся, «понимание проблемы» и «опыт командной работы» — нет, следовательно результатом не являются.</w:t>
      </w:r>
    </w:p>
    <w:p>
      <w:pPr>
        <w:spacing w:after="140" w:before="0" w:line="288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Таблица на слайде намеренно пустая: три строки (изделие, документ, данные) на две даты. Заполняется на доске для сквозного примера курса — умного горшка, вопросом в зал по строкам.</w:t>
      </w:r>
    </w:p>
    <w:p>
      <w:pPr>
        <w:spacing w:after="100" w:before="23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Вопросы к залу по строкам</w:t>
      </w:r>
    </w:p>
    <w:p>
      <w:pPr>
        <w:spacing w:after="90" w:line="288"/>
        <w:ind w:left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Изделие: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что физически лежит на столе 21 ноября? Что 26 декабря — то же самое или другое?</w:t>
      </w:r>
    </w:p>
    <w:p>
      <w:pPr>
        <w:spacing w:after="90" w:line="288"/>
        <w:ind w:left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Документ: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какая бумага это сопровождает? Без документа изделие на защите не засчитывается: комиссия должна прочитать, что было сделано.</w:t>
      </w:r>
    </w:p>
    <w:p>
      <w:pPr>
        <w:spacing w:after="90" w:line="288"/>
        <w:ind w:left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Данные: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какие числа подтверждают, что оно работает?</w:t>
      </w:r>
    </w:p>
    <w:p>
      <w:pPr>
        <w:pBdr>
          <w:left w:val="single" w:color="4A7099" w:sz="20" w:space="9"/>
        </w:pBdr>
        <w:shd w:fill="EFF4F9" w:val="clear"/>
        <w:spacing w:after="120" w:before="90" w:line="288"/>
        <w:ind w:left="280"/>
      </w:pPr>
      <w:r>
        <w:rPr>
          <w:rFonts w:ascii="Arial" w:cs="Arial" w:eastAsia="Arial" w:hAnsi="Arial"/>
          <w:b/>
          <w:bCs/>
          <w:color w:val="2C567F"/>
          <w:sz w:val="20"/>
          <w:szCs w:val="20"/>
        </w:rPr>
        <w:t xml:space="preserve">Ориентир для преподавателя: </w:t>
      </w: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21.11 — собранный макет на макетной плате, реагирующий на влажность; описание схемы и методики измерения; протокол 10 циклов полива с контрольным измерением. 26.12 — прототип в корпусе, работающий автономно; отчёт и инструкция; таблица трёх недель наблюдений на живом растении.</w:t>
      </w:r>
    </w:p>
    <w:p>
      <w:pPr>
        <w:spacing w:after="140" w:before="0" w:line="288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Вывод, который проговаривается после заполнения: строка «данные» — единственная, которую нельзя получить быстро. Измерения накапливаются неделями, поэтому начинать их нужно в октябре, а не в декабре.</w:t>
      </w:r>
    </w:p>
    <w:p>
      <w:pPr>
        <w:pBdr>
          <w:bottom w:val="single" w:color="005AAA" w:sz="12" w:space="6"/>
        </w:pBdr>
        <w:spacing w:after="140" w:before="320"/>
      </w:pPr>
      <w:r>
        <w:rPr>
          <w:rFonts w:ascii="Arial" w:cs="Arial" w:eastAsia="Arial" w:hAnsi="Arial"/>
          <w:b/>
          <w:bCs/>
          <w:color w:val="005AAA"/>
          <w:sz w:val="27"/>
          <w:szCs w:val="27"/>
        </w:rPr>
        <w:t xml:space="preserve">Этап 5 (16–20). Раздел 6 «Границы»: разбор на доске</w:t>
      </w:r>
    </w:p>
    <w:p>
      <w:pPr>
        <w:spacing w:after="140" w:before="0" w:line="288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Раздел, вызывающий наибольшее сопротивление: студентам кажется, что записанный отказ от работы выглядит как лень. Требуется прямо снять это опасение.</w:t>
      </w:r>
    </w:p>
    <w:p>
      <w:pPr>
        <w:pBdr>
          <w:left w:val="single" w:color="005AAA" w:sz="20" w:space="9"/>
        </w:pBdr>
        <w:shd w:fill="F4F7FA" w:val="clear"/>
        <w:spacing w:after="140" w:before="100" w:line="288"/>
        <w:ind w:left="280"/>
      </w:pPr>
      <w:r>
        <w:rPr>
          <w:rFonts w:ascii="Arial" w:cs="Arial" w:eastAsia="Arial" w:hAnsi="Arial"/>
          <w:b/>
          <w:bCs/>
          <w:color w:val="005AAA"/>
          <w:sz w:val="21"/>
          <w:szCs w:val="21"/>
        </w:rPr>
        <w:t xml:space="preserve">Определение.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Расползание содержания (scope creep) — неконтролируемое расширение объёма работ проекта за пределы первоначально согласованного содержания, происходящее постепенно и без явного решения. Записанные границы являются штатным средством защиты от него.</w:t>
      </w:r>
    </w:p>
    <w:p>
      <w:pPr>
        <w:spacing w:after="140" w:before="0" w:line="288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Три типа границ, по одной строке каждая:</w:t>
      </w:r>
    </w:p>
    <w:p>
      <w:pPr>
        <w:spacing w:after="90" w:line="288"/>
        <w:ind w:left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Чего не делаем — какая работа сознательно оставлена за рамками семестра.</w:t>
      </w:r>
    </w:p>
    <w:p>
      <w:pPr>
        <w:spacing w:after="90" w:line="288"/>
        <w:ind w:left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Для кого не делаем — какая аудитория не обслуживается и не обещается.</w:t>
      </w:r>
    </w:p>
    <w:p>
      <w:pPr>
        <w:spacing w:after="90" w:line="288"/>
        <w:ind w:left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Чего не гарантируем — в каких условиях результат не обещает работать.</w:t>
      </w:r>
    </w:p>
    <w:p>
      <w:pPr>
        <w:spacing w:after="140" w:before="0" w:line="288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Формулировка границы всегда имеет форму отказа. Это не стилистическое требование: граница должна быть предъявима комиссии как сознательное решение, а расплывчатое «постараемся не отвлекаться» предъявить нельзя.</w:t>
      </w:r>
    </w:p>
    <w:p>
      <w:pPr>
        <w:pBdr>
          <w:left w:val="single" w:color="4A7099" w:sz="20" w:space="9"/>
        </w:pBdr>
        <w:shd w:fill="EFF4F9" w:val="clear"/>
        <w:spacing w:after="120" w:before="90" w:line="288"/>
        <w:ind w:left="280"/>
      </w:pPr>
      <w:r>
        <w:rPr>
          <w:rFonts w:ascii="Arial" w:cs="Arial" w:eastAsia="Arial" w:hAnsi="Arial"/>
          <w:b/>
          <w:bCs/>
          <w:color w:val="2C567F"/>
          <w:sz w:val="20"/>
          <w:szCs w:val="20"/>
        </w:rPr>
        <w:t xml:space="preserve">Ориентир для преподавателя: </w:t>
      </w: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Мобильного приложения не будет. На промышленные теплицы не рассчитано. Работу при отрицательной температуре не обещаем.</w:t>
      </w:r>
    </w:p>
    <w:p>
      <w:pPr>
        <w:spacing w:after="140" w:before="0" w:line="288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Реплика, снимающая сопротивление: проект без границ комиссия разбирает жёстче, чем проект скромный, но очерченный, — потому что у первого нельзя проверить, выполнен он или нет.</w:t>
      </w:r>
    </w:p>
    <w:p>
      <w:pPr>
        <w:pBdr>
          <w:bottom w:val="single" w:color="005AAA" w:sz="12" w:space="6"/>
        </w:pBdr>
        <w:spacing w:after="140" w:before="320"/>
      </w:pPr>
      <w:r>
        <w:rPr>
          <w:rFonts w:ascii="Arial" w:cs="Arial" w:eastAsia="Arial" w:hAnsi="Arial"/>
          <w:b/>
          <w:bCs/>
          <w:color w:val="005AAA"/>
          <w:sz w:val="27"/>
          <w:szCs w:val="27"/>
        </w:rPr>
        <w:t xml:space="preserve">Этап 6 (20–24). Разделы 7 и 9</w:t>
      </w:r>
    </w:p>
    <w:p>
      <w:pPr>
        <w:spacing w:after="100" w:before="23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Раздел 7. Ресурсы</w:t>
      </w:r>
    </w:p>
    <w:p>
      <w:pPr>
        <w:spacing w:after="140" w:before="0" w:line="288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Бюджет учебного проекта выражается не в рублях, а в доступе: оборудование кафедры, время команды, компетенция других людей. Деньги указываются, только если действительно требуется закупка.</w:t>
      </w:r>
    </w:p>
    <w:p>
      <w:pPr>
        <w:spacing w:after="140" w:before="0" w:line="288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Три строки: что нужно (прибор, материал, навык, помещение), есть ли это сейчас, где берём или чем заменяем. Правило, которое проговаривается: пустая клетка в столбце «где берём» есть риск проекта, а не пробел в таблице. На практике 6 (17.10) такая строка переносится в реестр рисков под своим именем. Поэтому пустую клетку оставлять допустимо, а выдумывать ответ — нет.</w:t>
      </w:r>
    </w:p>
    <w:p>
      <w:pPr>
        <w:spacing w:after="100" w:before="23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Раздел 9. Критерии успеха</w:t>
      </w:r>
    </w:p>
    <w:p>
      <w:pPr>
        <w:spacing w:after="140" w:before="0" w:line="288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Различение, которое требуется удержать: цель говорит, что будет сделано; критерий успеха говорит, по какому признаку сторонний наблюдатель признает, что это сделано. Цель одна и формулируется фразой; критериев три-четыре, и каждый формулируется как проверка, допускающая ответ «да» или «нет».</w:t>
      </w:r>
    </w:p>
    <w:p>
      <w:pPr>
        <w:pBdr>
          <w:left w:val="single" w:color="4A7099" w:sz="20" w:space="9"/>
        </w:pBdr>
        <w:shd w:fill="EFF4F9" w:val="clear"/>
        <w:spacing w:after="120" w:before="90" w:line="288"/>
        <w:ind w:left="280"/>
      </w:pPr>
      <w:r>
        <w:rPr>
          <w:rFonts w:ascii="Arial" w:cs="Arial" w:eastAsia="Arial" w:hAnsi="Arial"/>
          <w:b/>
          <w:bCs/>
          <w:color w:val="2C567F"/>
          <w:sz w:val="20"/>
          <w:szCs w:val="20"/>
        </w:rPr>
        <w:t xml:space="preserve">Ориентир для преподавателя: </w:t>
      </w: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Прототип включается и показывает индикацию — да / нет. Протокол измерений содержит не менее десяти циклов — да / нет. Отчёт сдан к 26.12 и содержит сравнение с контрольным методом — да / нет.</w:t>
      </w:r>
    </w:p>
    <w:p>
      <w:pPr>
        <w:spacing w:after="140" w:before="0" w:line="288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Связь с первой половиной пары: критерии успеха выводятся из буквы M. Если команда застревает на этом разделе, причина почти всегда в размытой измеримости цели, и правильная реакция — вернуть её к листу 2, а не подсказывать критерий.</w:t>
      </w:r>
    </w:p>
    <w:p>
      <w:pPr>
        <w:pBdr>
          <w:bottom w:val="single" w:color="005AAA" w:sz="12" w:space="6"/>
        </w:pBdr>
        <w:spacing w:after="140" w:before="320"/>
      </w:pPr>
      <w:r>
        <w:rPr>
          <w:rFonts w:ascii="Arial" w:cs="Arial" w:eastAsia="Arial" w:hAnsi="Arial"/>
          <w:b/>
          <w:bCs/>
          <w:color w:val="005AAA"/>
          <w:sz w:val="27"/>
          <w:szCs w:val="27"/>
        </w:rPr>
        <w:t xml:space="preserve">Этап 7 (24–38). Заполнение бланка</w:t>
      </w:r>
    </w:p>
    <w:p>
      <w:pPr>
        <w:spacing w:after="140" w:before="0" w:line="288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Порядок работы объявляется до начала: первые пять минут — только перенос готового (разделы 3, 4, 10 с листов, разделы 2 и 8 по памяти), без улучшения формулировок. Оставшиеся девять-десять минут — только четыре новых раздела.</w:t>
      </w:r>
    </w:p>
    <w:p>
      <w:pPr>
        <w:spacing w:after="140" w:before="0" w:line="288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Правило, проговариваемое до начала работы: пустая клетка — допустимый ответ. Клетка, заполненная наугад, хуже пустой: её никто не проверит, а решение по ней будет принято.</w:t>
      </w:r>
    </w:p>
    <w:p>
      <w:pPr>
        <w:spacing w:after="100" w:before="23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Типичные ошибки и реакция преподавателя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2%"/>
            <w:shd w:fill="005AAA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Что происходит</w:t>
            </w:r>
          </w:p>
        </w:tc>
        <w:tc>
          <w:tcPr>
            <w:tcW w:type="pct" w:w="58%"/>
            <w:shd w:fill="005AAA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Как реагировать</w:t>
            </w:r>
          </w:p>
        </w:tc>
      </w:tr>
      <w:tr>
        <w:trPr>
          <w:trHeight w:val="0" w:hRule="atLeast"/>
        </w:trPr>
        <w:tc>
          <w:tcPr>
            <w:tcW w:type="pct" w:w="42%"/>
            <w:shd w:fill="FFFFFF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Команда переписывает лист 1 своими словами, «улучшая»</w:t>
            </w:r>
          </w:p>
        </w:tc>
        <w:tc>
          <w:tcPr>
            <w:tcW w:type="pct" w:w="58%"/>
            <w:shd w:fill="FFFFFF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Остановить: на этом этапе только перенос. Улучшение — дома, при втором подходе к листам</w:t>
            </w:r>
          </w:p>
        </w:tc>
      </w:tr>
      <w:tr>
        <w:trPr>
          <w:trHeight w:val="0" w:hRule="atLeast"/>
        </w:trPr>
        <w:tc>
          <w:tcPr>
            <w:tcW w:type="pct" w:w="42%"/>
            <w:shd w:fill="F2F2F2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В разделе 5 записана цель, а не предмет</w:t>
            </w:r>
          </w:p>
        </w:tc>
        <w:tc>
          <w:tcPr>
            <w:tcW w:type="pct" w:w="58%"/>
            <w:shd w:fill="F2F2F2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Задать вопрос: что из этого можно взять в руки и передать?</w:t>
            </w:r>
          </w:p>
        </w:tc>
      </w:tr>
      <w:tr>
        <w:trPr>
          <w:trHeight w:val="0" w:hRule="atLeast"/>
        </w:trPr>
        <w:tc>
          <w:tcPr>
            <w:tcW w:type="pct" w:w="42%"/>
            <w:shd w:fill="FFFFFF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Раздел 6 пуст: «мы всё будем делать»</w:t>
            </w:r>
          </w:p>
        </w:tc>
        <w:tc>
          <w:tcPr>
            <w:tcW w:type="pct" w:w="58%"/>
            <w:shd w:fill="FFFFFF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Спросить: о чём вас точно спросят на защите и чего вы делать не собираетесь? Это и есть первая граница</w:t>
            </w:r>
          </w:p>
        </w:tc>
      </w:tr>
      <w:tr>
        <w:trPr>
          <w:trHeight w:val="0" w:hRule="atLeast"/>
        </w:trPr>
        <w:tc>
          <w:tcPr>
            <w:tcW w:type="pct" w:w="42%"/>
            <w:shd w:fill="F2F2F2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В разделе 7 всё «есть»</w:t>
            </w:r>
          </w:p>
        </w:tc>
        <w:tc>
          <w:tcPr>
            <w:tcW w:type="pct" w:w="58%"/>
            <w:shd w:fill="F2F2F2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Уточнить по каждой строке: есть прямо сейчас или предполагается, что будет?</w:t>
            </w:r>
          </w:p>
        </w:tc>
      </w:tr>
      <w:tr>
        <w:trPr>
          <w:trHeight w:val="0" w:hRule="atLeast"/>
        </w:trPr>
        <w:tc>
          <w:tcPr>
            <w:tcW w:type="pct" w:w="42%"/>
            <w:shd w:fill="FFFFFF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Критерии успеха дублируют цель</w:t>
            </w:r>
          </w:p>
        </w:tc>
        <w:tc>
          <w:tcPr>
            <w:tcW w:type="pct" w:w="58%"/>
            <w:shd w:fill="FFFFFF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Переформулировать вместе одну строку в форму «да / нет», остальные команда доделает сама</w:t>
            </w:r>
          </w:p>
        </w:tc>
      </w:tr>
    </w:tbl>
    <w:p>
      <w:pPr>
        <w:pBdr>
          <w:bottom w:val="single" w:color="005AAA" w:sz="12" w:space="6"/>
        </w:pBdr>
        <w:spacing w:after="140" w:before="320"/>
      </w:pPr>
      <w:r>
        <w:rPr>
          <w:rFonts w:ascii="Arial" w:cs="Arial" w:eastAsia="Arial" w:hAnsi="Arial"/>
          <w:b/>
          <w:bCs/>
          <w:color w:val="005AAA"/>
          <w:sz w:val="27"/>
          <w:szCs w:val="27"/>
        </w:rPr>
        <w:t xml:space="preserve">Этап 8 (38–43). Обмен паспортами</w:t>
      </w:r>
    </w:p>
    <w:p>
      <w:pPr>
        <w:spacing w:after="140" w:before="0" w:line="288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Команды обмениваются заполненными бланками. Проверяющая команда задаёт ровно три вопроса — ограничение существенно: задача не разобрать чужой документ целиком, а найти три конкретных пробела.</w:t>
      </w:r>
    </w:p>
    <w:p>
      <w:pPr>
        <w:spacing w:after="90" w:line="288"/>
        <w:ind w:left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Что именно вы положите на стол 21 ноября? (проверяет раздел 5)</w:t>
      </w:r>
    </w:p>
    <w:p>
      <w:pPr>
        <w:spacing w:after="90" w:line="288"/>
        <w:ind w:left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Что из написанного можно не сделать, и проект всё равно состоится? (проверяет раздел 6; если ответа нет — границ нет)</w:t>
      </w:r>
    </w:p>
    <w:p>
      <w:pPr>
        <w:spacing w:after="90" w:line="288"/>
        <w:ind w:left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Чего у вас нет из раздела «Ресурсы» и где вы это возьмёте? (проверяет реализуемость)</w:t>
      </w:r>
    </w:p>
    <w:p>
      <w:pPr>
        <w:spacing w:after="140" w:before="0" w:line="288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Ответы записывает та команда, которую спрашивают, — на полях собственного бланка. Это делает обмен источником правок, а не устной беседой.</w:t>
      </w:r>
    </w:p>
    <w:p>
      <w:pPr>
        <w:pBdr>
          <w:bottom w:val="single" w:color="005AAA" w:sz="12" w:space="6"/>
        </w:pBdr>
        <w:spacing w:after="140" w:before="320"/>
      </w:pPr>
      <w:r>
        <w:rPr>
          <w:rFonts w:ascii="Arial" w:cs="Arial" w:eastAsia="Arial" w:hAnsi="Arial"/>
          <w:b/>
          <w:bCs/>
          <w:color w:val="005AAA"/>
          <w:sz w:val="27"/>
          <w:szCs w:val="27"/>
        </w:rPr>
        <w:t xml:space="preserve">Критерии оценки паспорта</w:t>
      </w:r>
    </w:p>
    <w:p>
      <w:pPr>
        <w:spacing w:after="140" w:before="0" w:line="288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Паспорт оценивается 26.09 вместе с представлением проекта, в составе 10 баллов первой вехи. Проверяется не оригинальность замысла, а связность документа: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4%"/>
            <w:shd w:fill="005AAA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Критерий</w:t>
            </w:r>
          </w:p>
        </w:tc>
        <w:tc>
          <w:tcPr>
            <w:tcW w:type="pct" w:w="66%"/>
            <w:shd w:fill="005AAA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Что означает</w:t>
            </w:r>
          </w:p>
        </w:tc>
      </w:tr>
      <w:tr>
        <w:trPr>
          <w:trHeight w:val="0" w:hRule="atLeast"/>
        </w:trPr>
        <w:tc>
          <w:tcPr>
            <w:tcW w:type="pct" w:w="34%"/>
            <w:shd w:fill="FFFFFF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Разделы 3 и 4 согласованы</w:t>
            </w:r>
          </w:p>
        </w:tc>
        <w:tc>
          <w:tcPr>
            <w:tcW w:type="pct" w:w="66%"/>
            <w:shd w:fill="FFFFFF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Цель отвечает на проблему, названную в ценностном предложении, а не на соседнюю</w:t>
            </w:r>
          </w:p>
        </w:tc>
      </w:tr>
      <w:tr>
        <w:trPr>
          <w:trHeight w:val="0" w:hRule="atLeast"/>
        </w:trPr>
        <w:tc>
          <w:tcPr>
            <w:tcW w:type="pct" w:w="34%"/>
            <w:shd w:fill="F2F2F2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Раздел 5 предъявим</w:t>
            </w:r>
          </w:p>
        </w:tc>
        <w:tc>
          <w:tcPr>
            <w:tcW w:type="pct" w:w="66%"/>
            <w:shd w:fill="F2F2F2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Названы предмет, документ и данные, а не намерения</w:t>
            </w:r>
          </w:p>
        </w:tc>
      </w:tr>
      <w:tr>
        <w:trPr>
          <w:trHeight w:val="0" w:hRule="atLeast"/>
        </w:trPr>
        <w:tc>
          <w:tcPr>
            <w:tcW w:type="pct" w:w="34%"/>
            <w:shd w:fill="FFFFFF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Раздел 6 содержателен</w:t>
            </w:r>
          </w:p>
        </w:tc>
        <w:tc>
          <w:tcPr>
            <w:tcW w:type="pct" w:w="66%"/>
            <w:shd w:fill="FFFFFF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Границы записаны как отказы и относятся к реальному риску расширения</w:t>
            </w:r>
          </w:p>
        </w:tc>
      </w:tr>
      <w:tr>
        <w:trPr>
          <w:trHeight w:val="0" w:hRule="atLeast"/>
        </w:trPr>
        <w:tc>
          <w:tcPr>
            <w:tcW w:type="pct" w:w="34%"/>
            <w:shd w:fill="F2F2F2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Раздел 9 проверяем</w:t>
            </w:r>
          </w:p>
        </w:tc>
        <w:tc>
          <w:tcPr>
            <w:tcW w:type="pct" w:w="66%"/>
            <w:shd w:fill="F2F2F2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Каждый критерий допускает ответ «да» или «нет» без обсуждения</w:t>
            </w:r>
          </w:p>
        </w:tc>
      </w:tr>
      <w:tr>
        <w:trPr>
          <w:trHeight w:val="0" w:hRule="atLeast"/>
        </w:trPr>
        <w:tc>
          <w:tcPr>
            <w:tcW w:type="pct" w:w="34%"/>
            <w:shd w:fill="FFFFFF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Раздел 7 честен</w:t>
            </w:r>
          </w:p>
        </w:tc>
        <w:tc>
          <w:tcPr>
            <w:tcW w:type="pct" w:w="66%"/>
            <w:shd w:fill="FFFFFF" w:val="clear"/>
            <w:tcMar>
              <w:top w:type="dxa" w:w="90"/>
              <w:left w:type="dxa" w:w="115"/>
              <w:bottom w:type="dxa" w:w="90"/>
              <w:right w:type="dxa" w:w="115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Отсутствующие ресурсы названы отсутствующими</w:t>
            </w:r>
          </w:p>
        </w:tc>
      </w:tr>
    </w:tbl>
    <w:p>
      <w:pPr>
        <w:pBdr>
          <w:bottom w:val="single" w:color="005AAA" w:sz="12" w:space="6"/>
        </w:pBdr>
        <w:spacing w:after="140" w:before="320"/>
      </w:pPr>
      <w:r>
        <w:rPr>
          <w:rFonts w:ascii="Arial" w:cs="Arial" w:eastAsia="Arial" w:hAnsi="Arial"/>
          <w:b/>
          <w:bCs/>
          <w:color w:val="005AAA"/>
          <w:sz w:val="27"/>
          <w:szCs w:val="27"/>
        </w:rPr>
        <w:t xml:space="preserve">Задание к 26 сентября</w:t>
      </w:r>
    </w:p>
    <w:p>
      <w:pPr>
        <w:spacing w:after="90" w:line="288"/>
        <w:ind w:left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Дописать паспорт по ответам соседней команды — в первую очередь разделы 5, 6 и 7.</w:t>
      </w:r>
    </w:p>
    <w:p>
      <w:pPr>
        <w:spacing w:after="90" w:line="288"/>
        <w:ind w:left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Сделать второй подход к листам 1 и 2 (задание первой половины пары) и перенести обновлённые формулировки в разделы 3 и 4 паспорта.</w:t>
      </w:r>
    </w:p>
    <w:p>
      <w:pPr>
        <w:spacing w:after="90" w:line="288"/>
        <w:ind w:left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Подготовить представление проекта: 3 минуты устно, включая минуту о том, что пока не сходится.</w:t>
      </w:r>
    </w:p>
    <w:p>
      <w:pPr>
        <w:spacing w:after="90" w:line="288"/>
        <w:ind w:left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Принять решение о сохранении или замене темы. После 26.09 замена невозможна.</w:t>
      </w:r>
    </w:p>
    <w:p>
      <w:pPr>
        <w:spacing w:after="140" w:before="0" w:line="288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26.09 к паспорту добавляется раздел 11 «Стейкхолдеры», после чего документ подписывается командой. На этом фаза инициации завершается, и начинается планирование — планировать возможно только то, что зафиксировано.</w:t>
      </w:r>
    </w:p>
    <w:sectPr>
      <w:pgSz w:w="11906" w:h="16838" w:orient="portrait"/>
      <w:pgMar w:top="900" w:right="900" w:bottom="8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2026-09-19T11:57:44.845Z</dcterms:created>
  <dcterms:modified xsi:type="dcterms:W3CDTF">2026-09-19T11:57:44.845Z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