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svg" ContentType="image/svg+xml"/>
  <Override PartName="/word/media/rId39.svg" ContentType="image/svg+xml"/>
  <Override PartName="/word/media/rId20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sec-planirovanie"/>
    <w:p>
      <w:pPr>
        <w:pStyle w:val="Heading1"/>
      </w:pPr>
      <w:r>
        <w:t xml:space="preserve">3. Планирование: от цели к плану</w:t>
      </w:r>
    </w:p>
    <w:bookmarkStart w:id="46" w:name="sec-wbs"/>
    <w:p>
      <w:pPr>
        <w:pStyle w:val="Heading2"/>
      </w:pPr>
      <w:r>
        <w:t xml:space="preserve">3.2 Иерархическая структура работ: из чего состоит проект</w:t>
      </w:r>
    </w:p>
    <w:bookmarkStart w:id="24" w:name="sec-wbs-zachem"/>
    <w:p>
      <w:pPr>
        <w:pStyle w:val="Heading3"/>
      </w:pPr>
      <w:r>
        <w:t xml:space="preserve">3.2.1 Зачем нужна WBS и где она стоит в проекте</w:t>
      </w:r>
    </w:p>
    <w:p>
      <w:pPr>
        <w:pStyle w:val="FirstParagraph"/>
      </w:pPr>
      <w:r>
        <w:t xml:space="preserve">На предыдущем шаге команда выбрала на дереве целей ветви, которые проект берёт, и записала остальные как границы. Но выбранная ветвь — это желаемое состояние («влажность на глубине корней видна»), а не работа. По ней нельзя назначить ответственного, оценить срок и посчитать стоимость.</w:t>
      </w:r>
    </w:p>
    <w:p>
      <w:pPr>
        <w:pStyle w:val="BodyText"/>
      </w:pPr>
      <w:r>
        <w:t xml:space="preserve">Поэтому следующий шаг — разложить выбранное содержание на части, которые можно сделать, проверить и оценить. Такое разложение называется</w:t>
      </w:r>
      <w:r>
        <w:t xml:space="preserve"> </w:t>
      </w:r>
      <w:r>
        <w:rPr>
          <w:b/>
          <w:bCs/>
        </w:rPr>
        <w:t xml:space="preserve">иерархической структурой работ</w:t>
      </w:r>
      <w:r>
        <w:t xml:space="preserve"> </w:t>
      </w:r>
      <w:r>
        <w:t xml:space="preserve">(WBS, work breakdown structure). Её место в планировании показано на рис.</w:t>
      </w:r>
      <w:r>
        <w:t xml:space="preserve"> </w:t>
      </w:r>
      <w:r>
        <w:rPr/>
        <w:t xml:space="preserve">1</w:t>
      </w:r>
      <w:r>
        <w:t xml:space="preserve">: WBS получает на вход выбранные ветви дерева целей, а её пакеты работ становятся входом календарного плана, сметы и реестра рисков.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mesto"/>
          <w:p>
            <w:pPr>
              <w:pStyle w:val="Compact"/>
              <w:jc w:val="center"/>
            </w:pPr>
            <w:r>
              <w:drawing>
                <wp:inline>
                  <wp:extent cx="3981450" cy="55245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./risunki/out/g3_2_mesto_pechat.sv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1450" cy="552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200"/>
              <w:pStyle w:val="ImageCaption"/>
            </w:pPr>
            <w:r>
              <w:t xml:space="preserve">Рис. 1. Место WBS в планировании проекта</w:t>
            </w:r>
          </w:p>
          <w:bookmarkEnd w:id="23"/>
        </w:tc>
      </w:tr>
    </w:tbl>
    <w:p>
      <w:pPr>
        <w:pStyle w:val="BodyText"/>
      </w:pPr>
      <w:r>
        <w:t xml:space="preserve">Без этого шага срок проекта называют «на глаз». На вопрос «сколько займёт проект?» ответа нет, пока проект целиком. На вопрос «сколько займёт подбор датчика?» ответить можно. Срок и стоимость проекта складываются снизу, из оценок маленьких частей.</w:t>
      </w:r>
    </w:p>
    <w:p>
      <w:pPr>
        <w:pStyle w:val="BodyText"/>
      </w:pPr>
      <w:r>
        <w:rPr>
          <w:b/>
          <w:bCs/>
        </w:rPr>
        <w:t xml:space="preserve">Что получится на выходе.</w:t>
      </w:r>
      <w:r>
        <w:t xml:space="preserve"> </w:t>
      </w:r>
      <w:r>
        <w:t xml:space="preserve">Альбомный лист А4 с деревом: сверху проект, ниже 3–5 крупных результатов, под каждым — пакеты работ. У каждого пакета есть проверяемый результат, один ответственный и оценка длительности.</w:t>
      </w:r>
    </w:p>
    <w:bookmarkEnd w:id="24"/>
    <w:bookmarkStart w:id="29" w:name="sec-wbs-ponyatiya"/>
    <w:p>
      <w:pPr>
        <w:pStyle w:val="Heading3"/>
      </w:pPr>
      <w:r>
        <w:t xml:space="preserve">3.2.2 Исходные понятия</w:t>
      </w:r>
    </w:p>
    <w:p>
      <w:pPr>
        <w:pStyle w:val="Врезка"/>
      </w:pPr>
      <w:r>
        <w:rPr>
          <w:b/>
          <w:bCs/>
        </w:rPr>
        <w:t xml:space="preserve">Определение.</w:t>
      </w:r>
      <w:r>
        <w:t xml:space="preserve"> </w:t>
      </w:r>
      <w:r>
        <w:t xml:space="preserve">Иерархическая структура работ (WBS) — иерархическая декомпозиция всего объёма работ, который команда должна выполнить, чтобы достичь целей проекта и получить требуемые результаты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Врезка"/>
      </w:pPr>
      <w:r>
        <w:rPr>
          <w:b/>
          <w:bCs/>
        </w:rPr>
        <w:t xml:space="preserve">Определение.</w:t>
      </w:r>
      <w:r>
        <w:t xml:space="preserve"> </w:t>
      </w:r>
      <w:r>
        <w:t xml:space="preserve">Пакет работ (work package) — работа на нижнем уровне WBS, для которой можно оценить длительность и стоимость и за выполнением которой можно следить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Декомпозиция</w:t>
      </w:r>
      <w:r>
        <w:t xml:space="preserve"> </w:t>
      </w:r>
      <w:r>
        <w:t xml:space="preserve">— разделение содержания проекта на всё более мелкие части, пока каждую часть нельзя будет оценить и поручить одному человеку.</w:t>
      </w:r>
    </w:p>
    <w:p>
      <w:pPr>
        <w:pStyle w:val="BodyText"/>
      </w:pPr>
      <w:r>
        <w:rPr>
          <w:b/>
          <w:bCs/>
        </w:rPr>
        <w:t xml:space="preserve">Правило 100 %.</w:t>
      </w:r>
      <w:r>
        <w:t xml:space="preserve"> </w:t>
      </w:r>
      <w:r>
        <w:t xml:space="preserve">WBS включает всю работу, входящую в содержание проекта, и ничего сверх него. Сумма работ на нижнем уровне каждой ветви равна работе её верхнего элемента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Из правила 100 % следуют две проверки (рис.</w:t>
      </w:r>
      <w:r>
        <w:t xml:space="preserve"> </w:t>
      </w:r>
      <w:r>
        <w:rPr/>
        <w:t xml:space="preserve">2</w:t>
      </w:r>
      <w:r>
        <w:t xml:space="preserve">). Если в WBS чего-то не хватает, эта работа всё равно будет сделана, но в план и в срок не попадёт. Если в WBS есть лишнее, это то, что команда отложила за границу, и оно вернулось в проект без решения.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sto"/>
          <w:p>
            <w:pPr>
              <w:pStyle w:val="Compact"/>
              <w:jc w:val="center"/>
            </w:pPr>
            <w:r>
              <w:drawing>
                <wp:inline>
                  <wp:extent cx="3238500" cy="202882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risunki/out/g3_2_sto_pechat.sv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2028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200"/>
              <w:pStyle w:val="ImageCaption"/>
            </w:pPr>
            <w:r>
              <w:t xml:space="preserve">Рис. 2. Правило 100 %: пакеты в сумме дают результат, работа за границей в WBS не входит</w:t>
            </w:r>
          </w:p>
          <w:bookmarkEnd w:id="28"/>
        </w:tc>
      </w:tr>
    </w:tbl>
    <w:p>
      <w:pPr>
        <w:pStyle w:val="BodyText"/>
      </w:pPr>
      <w:r>
        <w:t xml:space="preserve">Дерево целей и WBS отвечают на разные вопросы. Дерево целей — «что должно стать иначе», WBS — «что мы для этого сделаем и предъявим». Цель — состояние («влажность на глубине корней видна»), элемент WBS — результат («прототип датчика с индикатором»).</w:t>
      </w:r>
    </w:p>
    <w:bookmarkEnd w:id="29"/>
    <w:bookmarkStart w:id="30" w:name="sec-wbs-shagi"/>
    <w:p>
      <w:pPr>
        <w:pStyle w:val="Heading3"/>
      </w:pPr>
      <w:r>
        <w:t xml:space="preserve">3.2.3 Как построить WBS за шесть шагов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Наверху — проект целиком.</w:t>
      </w:r>
      <w:r>
        <w:t xml:space="preserve"> </w:t>
      </w:r>
      <w:r>
        <w:t xml:space="preserve">Одна рамка: название проекта и его главный результат из паспорта.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Первый уровень — крупные результаты.</w:t>
      </w:r>
      <w:r>
        <w:t xml:space="preserve"> </w:t>
      </w:r>
      <w:r>
        <w:t xml:space="preserve">Для каждой выбранной ветви дерева целей спросите: «Что мы предъявим, чтобы эта цель была достигнута?» Обычно выходит 3–5 рамок. Добавьте два элемента, о которых чаще всего забывают:</w:t>
      </w:r>
      <w:r>
        <w:t xml:space="preserve"> </w:t>
      </w:r>
      <w:r>
        <w:rPr>
          <w:b/>
          <w:bCs/>
        </w:rPr>
        <w:t xml:space="preserve">отчёт и защита</w:t>
      </w:r>
      <w:r>
        <w:t xml:space="preserve">,</w:t>
      </w:r>
      <w:r>
        <w:t xml:space="preserve"> </w:t>
      </w:r>
      <w:r>
        <w:rPr>
          <w:b/>
          <w:bCs/>
        </w:rPr>
        <w:t xml:space="preserve">управление проектом</w:t>
      </w:r>
      <w:r>
        <w:t xml:space="preserve"> </w:t>
      </w:r>
      <w:r>
        <w:t xml:space="preserve">(паспорт, план, журнал, встречи). Элементы называйте существительными: «прототип», «протокол испытаний», «отчёт». Действие не предъявишь.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Второй уровень — пакеты работ.</w:t>
      </w:r>
      <w:r>
        <w:t xml:space="preserve"> </w:t>
      </w:r>
      <w:r>
        <w:t xml:space="preserve">Каждый результат разложите, спросив: «Из чего он состоит?» Остановитесь, когда у части понятно,</w:t>
      </w:r>
      <w:r>
        <w:t xml:space="preserve"> </w:t>
      </w:r>
      <w:r>
        <w:rPr>
          <w:b/>
          <w:bCs/>
        </w:rPr>
        <w:t xml:space="preserve">что предъявить</w:t>
      </w:r>
      <w:r>
        <w:t xml:space="preserve">, можно назначить</w:t>
      </w:r>
      <w:r>
        <w:t xml:space="preserve"> </w:t>
      </w:r>
      <w:r>
        <w:rPr>
          <w:b/>
          <w:bCs/>
        </w:rPr>
        <w:t xml:space="preserve">одного ответственного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оценить длительность</w:t>
      </w:r>
      <w:r>
        <w:t xml:space="preserve">. Ориентир по размеру: пакет делает один человек за срок от нескольких вечеров до двух недель.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Пронумеруйте элементы:</w:t>
      </w:r>
      <w:r>
        <w:t xml:space="preserve"> </w:t>
      </w:r>
      <w:r>
        <w:t xml:space="preserve">1, 2, 3 на первом уровне, 1.1, 1.2, 2.1 на втором. По номеру на следующих шагах ссылаются на пакет в графике и смете.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Проверьте правило 100 %.</w:t>
      </w:r>
      <w:r>
        <w:t xml:space="preserve"> </w:t>
      </w:r>
      <w:r>
        <w:t xml:space="preserve">Если все пакеты под результатом сделаны, результат готов? Если нет — чего-то не хватает. Нет ли в WBS того, от чего команда отказалась в границах?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Впишите в каждый пакет ответственного и оценку длительности</w:t>
      </w:r>
      <w:r>
        <w:t xml:space="preserve"> </w:t>
      </w:r>
      <w:r>
        <w:t xml:space="preserve">— в днях или неделях, честно: если в команде никто не делал этого раньше, срок больше.</w:t>
      </w:r>
    </w:p>
    <w:p>
      <w:pPr>
        <w:pStyle w:val="FirstParagraph"/>
      </w:pPr>
      <w:r>
        <w:t xml:space="preserve">В примере умного горшка команда выбрала на дереве целей две ветви: «влажность на глубине корней видна» и «датчик доступен по цене и подходит для комнатного растения». Автоматический полив и работа в отсутствие хозяина остались за границей. Из этих ветвей и вырастает WBS в следующем параграфе.</w:t>
      </w:r>
    </w:p>
    <w:bookmarkEnd w:id="30"/>
    <w:bookmarkStart w:id="36" w:name="sec-wbs-primer"/>
    <w:p>
      <w:pPr>
        <w:pStyle w:val="Heading3"/>
      </w:pPr>
      <w:r>
        <w:t xml:space="preserve">3.2.4 Пример: WBS умного горшка</w:t>
      </w:r>
    </w:p>
    <w:p>
      <w:pPr>
        <w:pStyle w:val="FirstParagraph"/>
      </w:pPr>
      <w:r>
        <w:t xml:space="preserve">Дерево работ показано на рис.</w:t>
      </w:r>
      <w:r>
        <w:t xml:space="preserve"> </w:t>
      </w:r>
      <w:r>
        <w:rPr/>
        <w:t xml:space="preserve">3</w:t>
      </w:r>
      <w:r>
        <w:t xml:space="preserve">, что предъявляется по каждому пакету — в таблице</w:t>
      </w:r>
      <w:r>
        <w:t xml:space="preserve"> </w:t>
      </w:r>
      <w:r>
        <w:rPr/>
        <w:t xml:space="preserve">1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erevo"/>
          <w:p>
            <w:pPr>
              <w:pStyle w:val="Compact"/>
              <w:jc w:val="center"/>
            </w:pPr>
            <w:r>
              <w:drawing>
                <wp:inline>
                  <wp:extent cx="3600450" cy="256222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risunki/out/g3_2_derevo_pechat.sv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450" cy="2562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200"/>
              <w:pStyle w:val="ImageCaption"/>
            </w:pPr>
            <w:r>
              <w:t xml:space="preserve">Рис. 3. WBS умного горшка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pakety"/>
          <w:p>
            <w:pPr>
              <w:jc w:val="center"/>
              <w:spacing w:before="200"/>
              <w:pStyle w:val="ImageCaption"/>
            </w:pPr>
            <w:r>
              <w:t xml:space="preserve">Таблица 1. Пакеты работ умного горшка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50"/>
              <w:gridCol w:w="3326"/>
              <w:gridCol w:w="364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Код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Пакет работ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Что предъявляем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Компоненты подобраны и куплены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список компонентов с ценами, не дороже 1500 руб.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Схема собрана и проверена на столе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фото схемы, показания на трёх образцах почвы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Программа: порог влажности включает индикатор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код программы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Корпус с индикатором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корпус, установленный в горшок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Калибровка датчика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таблица соответствия показаний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Десять циклов полива на трёх растениях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протокол испытаний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Три владельца растений попробовали прототип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записи разговоров, цитаты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4.1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Письменный отчёт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отчёт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4.2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Презентация и питч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презентация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5.1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Паспорт, план, журнал проекта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документы</w:t>
                  </w:r>
                </w:p>
              </w:tc>
            </w:tr>
          </w:tbl>
          <w:bookmarkEnd w:id="35"/>
          <w:p/>
        </w:tc>
      </w:tr>
    </w:tbl>
    <w:p>
      <w:pPr>
        <w:pStyle w:val="BodyText"/>
      </w:pPr>
      <w:r>
        <w:t xml:space="preserve">Насоса и мобильного приложения в этой WBS нет: насос за границей, приложение для выбранных целей не нужно. Если кто-то предложит «а давайте ещё приложение», WBS и границы показывают, что это новое решение.</w:t>
      </w:r>
    </w:p>
    <w:bookmarkEnd w:id="36"/>
    <w:bookmarkStart w:id="38" w:name="sec-wbs-oshibki"/>
    <w:p>
      <w:pPr>
        <w:pStyle w:val="Heading3"/>
      </w:pPr>
      <w:r>
        <w:t xml:space="preserve">3.2.5 Типичные ошибки и как их поправить</w:t>
      </w:r>
    </w:p>
    <w:p>
      <w:pPr>
        <w:pStyle w:val="FirstParagraph"/>
      </w:pPr>
      <w:r>
        <w:t xml:space="preserve">Ошибки, с которыми команды встречаются чаще всего, собраны в таблице</w:t>
      </w:r>
      <w:r>
        <w:t xml:space="preserve"> </w:t>
      </w:r>
      <w:r>
        <w:rPr/>
        <w:t xml:space="preserve">2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oshibki"/>
          <w:p>
            <w:pPr>
              <w:jc w:val="center"/>
              <w:spacing w:before="200"/>
              <w:pStyle w:val="ImageCaption"/>
            </w:pPr>
            <w:r>
              <w:t xml:space="preserve">Таблица 2. Типичные ошибки при построении WBS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564"/>
              <w:gridCol w:w="4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Ошибка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Как поправить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Разложено по людям: «Вася — схема, Петя — код»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Сначала результаты, потом ответственные. Человек — свойство пакета, ветвью дерева он не становится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Элементы — действия без результата: «изучить литературу»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Спросить, что после этого можно предъявить, и записать результат: «таблица сравнения трёх датчиков»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Нет отчёта, защиты, управления проектом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Добавить: эта работа будет сделана в любом случае и займёт время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 WBS вернулось то, что записано в границах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Убрать или явно пересмотреть границу вместе с командой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Пакет «на всех» или без оценки срока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Назначить одного ответственного; если срок назвать нельзя — дробить дальше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Слишком мелко: «купить провода»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Объединить в пакет с проверяемым результатом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В WBS уже стоят даты и порядок работ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Порядок и сроки — на следующем шаге, в календарном плане</w:t>
                  </w:r>
                </w:p>
              </w:tc>
            </w:tr>
          </w:tbl>
          <w:bookmarkEnd w:id="37"/>
          <w:p/>
        </w:tc>
      </w:tr>
    </w:tbl>
    <w:bookmarkEnd w:id="38"/>
    <w:bookmarkStart w:id="43" w:name="sec-wbs-list"/>
    <w:p>
      <w:pPr>
        <w:pStyle w:val="Heading3"/>
      </w:pPr>
      <w:r>
        <w:t xml:space="preserve">3.2.6 Лист WBS</w:t>
      </w:r>
    </w:p>
    <w:p>
      <w:pPr>
        <w:pStyle w:val="FirstParagraph"/>
      </w:pPr>
      <w:r>
        <w:t xml:space="preserve">Команда заполняет альбомный лист А4 (рис.</w:t>
      </w:r>
      <w:r>
        <w:t xml:space="preserve"> </w:t>
      </w:r>
      <w:r>
        <w:rPr/>
        <w:t xml:space="preserve">4</w:t>
      </w:r>
      <w:r>
        <w:t xml:space="preserve">). На лицевой стороне — дерево: проект, крупные результаты, пакеты. На обороте — таблица пакетов: код, пакет, что предъявляем, ответственный, длительность и от какого пакета он зависит. Последний столбец пригодится на следующем шаге. Пишите мелко: рамки пакетов — в два-три слова, подробности — на обороте. Тот же лист можно заполнить в цифровой версии книги и распечатать.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list"/>
          <w:p>
            <w:pPr>
              <w:pStyle w:val="Compact"/>
              <w:jc w:val="center"/>
            </w:pPr>
            <w:r>
              <w:drawing>
                <wp:inline>
                  <wp:extent cx="2381250" cy="253365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../risunki/out/g3_2_list_pechat.sv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533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200"/>
              <w:pStyle w:val="ImageCaption"/>
            </w:pPr>
            <w:r>
              <w:t xml:space="preserve">Рис. 4. Схема листа WBS</w:t>
            </w:r>
          </w:p>
          <w:bookmarkEnd w:id="42"/>
        </w:tc>
      </w:tr>
    </w:tbl>
    <w:bookmarkEnd w:id="43"/>
    <w:bookmarkStart w:id="44" w:name="sec-wbs-samoproverka"/>
    <w:p>
      <w:pPr>
        <w:pStyle w:val="Heading3"/>
      </w:pPr>
      <w:r>
        <w:t xml:space="preserve">3.2.7 Самопроверка</w:t>
      </w:r>
    </w:p>
    <w:p>
      <w:pPr>
        <w:pStyle w:val="FirstParagraph"/>
      </w:pPr>
      <w:r>
        <w:t xml:space="preserve">WBS готова, если:</w:t>
      </w:r>
    </w:p>
    <w:p>
      <w:pPr>
        <w:pStyle w:val="Compact"/>
        <w:numPr>
          <w:ilvl w:val="0"/>
          <w:numId w:val="1002"/>
        </w:numPr>
      </w:pPr>
      <w:r>
        <w:t xml:space="preserve">наверху один проект, под ним 3–5 крупных результатов, и каждый назван существительным;</w:t>
      </w:r>
    </w:p>
    <w:p>
      <w:pPr>
        <w:pStyle w:val="Compact"/>
        <w:numPr>
          <w:ilvl w:val="0"/>
          <w:numId w:val="1002"/>
        </w:numPr>
      </w:pPr>
      <w:r>
        <w:t xml:space="preserve">есть «отчёт и защита» и «управление проектом»;</w:t>
      </w:r>
    </w:p>
    <w:p>
      <w:pPr>
        <w:pStyle w:val="Compact"/>
        <w:numPr>
          <w:ilvl w:val="0"/>
          <w:numId w:val="1002"/>
        </w:numPr>
      </w:pPr>
      <w:r>
        <w:t xml:space="preserve">у каждого пакета есть что предъявить, один ответственный и оценка длительности;</w:t>
      </w:r>
    </w:p>
    <w:p>
      <w:pPr>
        <w:pStyle w:val="Compact"/>
        <w:numPr>
          <w:ilvl w:val="0"/>
          <w:numId w:val="1002"/>
        </w:numPr>
      </w:pPr>
      <w:r>
        <w:t xml:space="preserve">для каждого результата выполнено правило 100 %, и в WBS нет ничего из границ;</w:t>
      </w:r>
    </w:p>
    <w:p>
      <w:pPr>
        <w:pStyle w:val="Compact"/>
        <w:numPr>
          <w:ilvl w:val="0"/>
          <w:numId w:val="1002"/>
        </w:numPr>
      </w:pPr>
      <w:r>
        <w:t xml:space="preserve">в WBS нет дат и порядка работ.</w:t>
      </w:r>
    </w:p>
    <w:p>
      <w:pPr>
        <w:pStyle w:val="FirstParagraph"/>
      </w:pPr>
      <w:r>
        <w:t xml:space="preserve">Вопросы для себя. Чем элемент WBS отличается от цели в дереве целей? Почему WBS не раскладывают по участникам команды? Найдите в своей WBS пакет, который один человек не сделает за две недели, и разложите его.</w:t>
      </w:r>
    </w:p>
    <w:bookmarkEnd w:id="44"/>
    <w:bookmarkStart w:id="45" w:name="sec-wbs-dalshe"/>
    <w:p>
      <w:pPr>
        <w:pStyle w:val="Heading3"/>
      </w:pPr>
      <w:r>
        <w:t xml:space="preserve">3.2.8 Что дальше: от пакетов к календарному плану</w:t>
      </w:r>
    </w:p>
    <w:p>
      <w:pPr>
        <w:pStyle w:val="FirstParagraph"/>
      </w:pPr>
      <w:r>
        <w:t xml:space="preserve">Пакеты работ с оценками длительности становятся входом календарного плана и диаграммы Ганта: в графике расставляются именно они. По пакетам считается смета — что нужно для каждого и есть ли это у команды (раздел паспорта о ресурсах). Пакеты, у которых нет ответственного или ресурса, — первые кандидаты в реестр рисков.</w:t>
      </w:r>
    </w:p>
    <w:bookmarkEnd w:id="45"/>
    <w:bookmarkEnd w:id="46"/>
    <w:bookmarkStart w:id="50" w:name="библиографический-список"/>
    <w:p>
      <w:pPr>
        <w:pStyle w:val="Heading2"/>
      </w:pPr>
      <w:r>
        <w:t xml:space="preserve">Библиографический список</w:t>
      </w:r>
    </w:p>
    <w:bookmarkStart w:id="49" w:name="refs"/>
    <w:bookmarkStart w:id="47" w:name="ref-pmbok6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Project Management Institute. A Guide to the Project Management Body of Knowledge (PMBOK Guide). 6-е изд. Newtown Square, PA: Project Management Institute, 2017.</w:t>
      </w:r>
    </w:p>
    <w:bookmarkEnd w:id="47"/>
    <w:bookmarkStart w:id="48" w:name="ref-pmi-wb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Project Management Institute. Practice Standard for Work Breakdown Structures. 3-е изд. Newtown Square, PA: Project Management Institute, 2019.</w:t>
      </w:r>
    </w:p>
    <w:bookmarkEnd w:id="48"/>
    <w:bookmarkEnd w:id="49"/>
    <w:bookmarkEnd w:id="50"/>
    <w:bookmarkEnd w:id="51"/>
    <w:sectPr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720" w:hanging="360"/>
      </w:pPr>
    </w:lvl>
    <w:lvl w:ilvl="1">
      <w:numFmt w:val="bullet"/>
      <w:lvlText w:val="–"/>
      <w:lvlJc w:val="left"/>
      <w:pPr>
        <w:ind w:left="1440" w:hanging="360"/>
      </w:pPr>
    </w:lvl>
    <w:lvl w:ilvl="2">
      <w:numFmt w:val="bullet"/>
      <w:lvlText w:val="–"/>
      <w:lvlJc w:val="left"/>
      <w:pPr>
        <w:ind w:left="2160" w:hanging="360"/>
      </w:pPr>
    </w:lvl>
    <w:lvl w:ilvl="3">
      <w:numFmt w:val="bullet"/>
      <w:lvlText w:val="–"/>
      <w:lvlJc w:val="left"/>
      <w:pPr>
        <w:ind w:left="2880" w:hanging="360"/>
      </w:pPr>
    </w:lvl>
    <w:lvl w:ilvl="4">
      <w:numFmt w:val="bullet"/>
      <w:lvlText w:val="–"/>
      <w:lvlJc w:val="left"/>
      <w:pPr>
        <w:ind w:left="3600" w:hanging="360"/>
      </w:pPr>
    </w:lvl>
    <w:lvl w:ilvl="5">
      <w:numFmt w:val="bullet"/>
      <w:lvlText w:val="–"/>
      <w:lvlJc w:val="left"/>
      <w:pPr>
        <w:ind w:left="4320" w:hanging="360"/>
      </w:pPr>
    </w:lvl>
    <w:lvl w:ilvl="6">
      <w:numFmt w:val="bullet"/>
      <w:lvlText w:val="–"/>
      <w:lvlJc w:val="left"/>
      <w:pPr>
        <w:ind w:left="5040" w:hanging="360"/>
      </w:pPr>
    </w:lvl>
    <w:lvl w:ilvl="7">
      <w:numFmt w:val="bullet"/>
      <w:lvlText w:val="–"/>
      <w:lvlJc w:val="left"/>
      <w:pPr>
        <w:ind w:left="5760" w:hanging="360"/>
      </w:pPr>
    </w:lvl>
    <w:lvl w:ilvl="8">
      <w:numFmt w:val="bullet"/>
      <w:lvlText w:val="–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720" w:hanging="360"/>
      </w:pPr>
      <w:rPr>
        <w:rFonts w:ascii="Times New Roman" w:hAnsi="Times New Roman" w:cs="Times New Roman"/>
      </w:rPr>
    </w:lvl>
    <w:lvl w:ilvl="1">
      <w:numFmt w:val="bullet"/>
      <w:lvlText w:val="–"/>
      <w:lvlJc w:val="left"/>
      <w:pPr>
        <w:ind w:left="1440" w:hanging="360"/>
      </w:pPr>
      <w:rPr>
        <w:rFonts w:ascii="Times New Roman" w:hAnsi="Times New Roman" w:cs="Times New Roman"/>
      </w:rPr>
    </w:lvl>
    <w:lvl w:ilvl="2">
      <w:numFmt w:val="bullet"/>
      <w:lvlText w:val="–"/>
      <w:lvlJc w:val="left"/>
      <w:pPr>
        <w:ind w:left="2160" w:hanging="360"/>
      </w:pPr>
      <w:rPr>
        <w:rFonts w:ascii="Times New Roman" w:hAnsi="Times New Roman" w:cs="Times New Roman"/>
      </w:rPr>
    </w:lvl>
    <w:lvl w:ilvl="3">
      <w:numFmt w:val="bullet"/>
      <w:lvlText w:val="–"/>
      <w:lvlJc w:val="left"/>
      <w:pPr>
        <w:ind w:left="2880" w:hanging="360"/>
      </w:pPr>
      <w:rPr>
        <w:rFonts w:ascii="Times New Roman" w:hAnsi="Times New Roman" w:cs="Times New Roman"/>
      </w:rPr>
    </w:lvl>
    <w:lvl w:ilvl="4">
      <w:numFmt w:val="bullet"/>
      <w:lvlText w:val="–"/>
      <w:lvlJc w:val="left"/>
      <w:pPr>
        <w:ind w:left="3600" w:hanging="360"/>
      </w:pPr>
      <w:rPr>
        <w:rFonts w:ascii="Times New Roman" w:hAnsi="Times New Roman" w:cs="Times New Roman"/>
      </w:rPr>
    </w:lvl>
    <w:lvl w:ilvl="5">
      <w:numFmt w:val="bullet"/>
      <w:lvlText w:val="–"/>
      <w:lvlJc w:val="left"/>
      <w:pPr>
        <w:ind w:left="4320" w:hanging="360"/>
      </w:pPr>
      <w:rPr>
        <w:rFonts w:ascii="Times New Roman" w:hAnsi="Times New Roman" w:cs="Times New Roman"/>
      </w:rPr>
    </w:lvl>
    <w:lvl w:ilvl="6">
      <w:numFmt w:val="bullet"/>
      <w:lvlText w:val="–"/>
      <w:lvlJc w:val="left"/>
      <w:pPr>
        <w:ind w:left="5040" w:hanging="360"/>
      </w:pPr>
      <w:rPr>
        <w:rFonts w:ascii="Times New Roman" w:hAnsi="Times New Roman" w:cs="Times New Roman"/>
      </w:rPr>
    </w:lvl>
    <w:lvl w:ilvl="7">
      <w:numFmt w:val="bullet"/>
      <w:lvlText w:val="–"/>
      <w:lvlJc w:val="left"/>
      <w:pPr>
        <w:ind w:left="5760" w:hanging="360"/>
      </w:pPr>
      <w:rPr>
        <w:rFonts w:ascii="Times New Roman" w:hAnsi="Times New Roman" w:cs="Times New Roman"/>
      </w:rPr>
    </w:lvl>
    <w:lvl w:ilvl="8">
      <w:numFmt w:val="bullet"/>
      <w:lvlText w:val="–"/>
      <w:lvlJc w:val="left"/>
      <w:pPr>
        <w:ind w:left="6480" w:hanging="360"/>
      </w:pPr>
      <w:rPr>
        <w:rFonts w:ascii="Times New Roman" w:hAnsi="Times New Roman" w:cs="Times New Roman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ind w:firstLine="709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  <w:ind w:firstLine="0"/>
    </w:pPr>
    <w:rPr>
      <w:rFonts w:ascii="Times New Roman" w:cs="Times New Roman" w:eastAsia="Times New Roman" w:hAnsi="Times New Roman"/>
      <w:color w:val="000000"/>
      <w:sz w:val="2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360" w:lineRule="auto"/>
      <w:jc w:val="center"/>
    </w:pPr>
    <w:rPr>
      <w:rFonts w:ascii="Times New Roman" w:cs="Times New Roman" w:eastAsia="Times New Roman" w:hAnsi="Times New Roman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360" w:lineRule="auto"/>
      <w:jc w:val="center"/>
    </w:pPr>
    <w:rPr>
      <w:rFonts w:ascii="Times New Roman" w:cs="Times New Roman" w:eastAsia="Times New Roman" w:hAnsi="Times New Roman"/>
      <w:color w:val="00000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360" w:lineRule="auto"/>
      <w:jc w:val="center"/>
    </w:pPr>
    <w:rPr>
      <w:rFonts w:ascii="Times New Roman" w:cs="Times New Roman" w:eastAsia="Times New Roman" w:hAnsi="Times New Roman"/>
      <w:color w:val="000000"/>
      <w:sz w:val="28"/>
    </w:rPr>
  </w:style>
  <w:style w:styleId="Date" w:type="paragraph">
    <w:name w:val="Date"/>
    <w:next w:val="BodyText"/>
    <w:qFormat/>
    <w:pPr>
      <w:keepNext/>
      <w:keepLines/>
      <w:spacing w:line="360" w:lineRule="auto"/>
      <w:jc w:val="center"/>
    </w:pPr>
    <w:rPr>
      <w:rFonts w:ascii="Times New Roman" w:cs="Times New Roman" w:eastAsia="Times New Roman" w:hAnsi="Times New Roman"/>
      <w:color w:val="000000"/>
      <w:sz w:val="2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 w:line="360" w:lineRule="auto"/>
    </w:pPr>
    <w:rPr>
      <w:color w:val="000000"/>
      <w:sz w:val="28"/>
      <w:szCs w:val="20"/>
      <w:rFonts w:ascii="Times New Roman" w:cs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360" w:lineRule="auto"/>
    </w:pPr>
    <w:rPr>
      <w:rFonts w:ascii="Times New Roman" w:cs="Times New Roman" w:eastAsia="Times New Roman" w:hAnsi="Times New Roman"/>
      <w:color w:val="000000"/>
      <w:sz w:val="28"/>
      <w:szCs w:val="20"/>
    </w:rPr>
  </w:style>
  <w:style w:styleId="Bibliography" w:type="paragraph">
    <w:name w:val="Bibliography"/>
    <w:basedOn w:val="Normal"/>
    <w:next w:val="Bibliography"/>
    <w:qFormat/>
    <w:pPr>
      <w:spacing w:line="360" w:lineRule="auto"/>
    </w:pPr>
    <w:rPr>
      <w:rFonts w:ascii="Times New Roman" w:cs="Times New Roman" w:eastAsia="Times New Roman" w:hAnsi="Times New Roman"/>
      <w:color w:val="000000"/>
      <w:sz w:val="28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 w:line="360" w:lineRule="auto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3"/>
    </w:pPr>
    <w:rPr>
      <w:rFonts w:ascii="Times New Roman" w:cs="Times New Roman" w:eastAsia="Times New Roman" w:hAnsi="Times New Roman"/>
      <w:i w:val="0"/>
      <w:b/>
      <w:bCs/>
      <w:color w:val="000000"/>
      <w:sz w:val="28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4"/>
    </w:pPr>
    <w:rPr>
      <w:rFonts w:ascii="Times New Roman" w:cs="Times New Roman" w:eastAsia="Times New Roman" w:hAnsi="Times New Roman"/>
      <w:b/>
      <w:i w:val="0"/>
      <w:iCs/>
      <w:color w:val="000000"/>
      <w:sz w:val="28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5"/>
    </w:pPr>
    <w:rPr>
      <w:rFonts w:ascii="Times New Roman" w:cs="Times New Roman" w:eastAsia="Times New Roman" w:hAnsi="Times New Roman"/>
      <w:b/>
      <w:i w:val="0"/>
      <w:color w:val="000000"/>
      <w:sz w:val="28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6"/>
    </w:pPr>
    <w:rPr>
      <w:rFonts w:ascii="Times New Roman" w:cs="Times New Roman" w:eastAsia="Times New Roman" w:hAnsi="Times New Roman"/>
      <w:b/>
      <w:i w:val="0"/>
      <w:color w:val="000000"/>
      <w:sz w:val="28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7"/>
    </w:pPr>
    <w:rPr>
      <w:rFonts w:ascii="Times New Roman" w:cs="Times New Roman" w:eastAsia="Times New Roman" w:hAnsi="Times New Roman"/>
      <w:b/>
      <w:i w:val="0"/>
      <w:color w:val="000000"/>
      <w:sz w:val="28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8"/>
    </w:pPr>
    <w:rPr>
      <w:rFonts w:ascii="Times New Roman" w:cs="Times New Roman" w:eastAsia="Times New Roman" w:hAnsi="Times New Roman"/>
      <w:b/>
      <w:i w:val="0"/>
      <w:color w:val="000000"/>
      <w:sz w:val="28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360" w:lineRule="auto"/>
      <w:ind w:firstLine="0" w:left="480" w:right="480"/>
    </w:pPr>
    <w:rPr>
      <w:rFonts w:ascii="Times New Roman" w:cs="Times New Roman" w:eastAsia="Times New Roman" w:hAnsi="Times New Roman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360" w:lineRule="auto"/>
    </w:pPr>
    <w:rPr>
      <w:rFonts w:ascii="Times New Roman" w:cs="Times New Roman" w:eastAsia="Times New Roman" w:hAnsi="Times New Roman"/>
      <w:color w:val="000000"/>
      <w:sz w:val="28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360" w:lineRule="auto"/>
    </w:pPr>
    <w:rPr>
      <w:rFonts w:ascii="Times New Roman" w:cs="Times New Roman" w:eastAsia="Times New Roman" w:hAnsi="Times New Roman"/>
      <w:b/>
      <w:color w:val="000000"/>
      <w:sz w:val="28"/>
    </w:rPr>
  </w:style>
  <w:style w:customStyle="1" w:styleId="Definition" w:type="paragraph">
    <w:name w:val="Definition"/>
    <w:basedOn w:val="Normal"/>
    <w:pPr>
      <w:spacing w:line="360" w:lineRule="auto"/>
    </w:pPr>
    <w:rPr>
      <w:rFonts w:ascii="Times New Roman" w:cs="Times New Roman" w:eastAsia="Times New Roman" w:hAnsi="Times New Roman"/>
      <w:color w:val="000000"/>
      <w:sz w:val="28"/>
    </w:rPr>
  </w:style>
  <w:style w:styleId="Caption" w:type="paragraph">
    <w:name w:val="Caption"/>
    <w:basedOn w:val="Normal"/>
    <w:link w:val="BodyTextChar"/>
    <w:pPr>
      <w:spacing w:after="120" w:before="0" w:line="360" w:lineRule="auto"/>
      <w:ind w:firstLine="0"/>
    </w:pPr>
    <w:rPr>
      <w:rFonts w:ascii="Times New Roman" w:cs="Times New Roman" w:eastAsia="Times New Roman" w:hAnsi="Times New Roman"/>
      <w:i w:val="0"/>
      <w:color w:val="000000"/>
      <w:sz w:val="28"/>
    </w:rPr>
  </w:style>
  <w:style w:customStyle="1" w:styleId="TableCaption" w:type="paragraph">
    <w:name w:val="Table Caption"/>
    <w:basedOn w:val="Caption"/>
    <w:pPr>
      <w:keepNext/>
      <w:spacing w:line="360" w:lineRule="auto"/>
      <w:ind w:firstLine="0"/>
    </w:pPr>
    <w:rPr>
      <w:rFonts w:ascii="Times New Roman" w:cs="Times New Roman" w:eastAsia="Times New Roman" w:hAnsi="Times New Roman"/>
      <w:i w:val="0"/>
      <w:color w:val="000000"/>
      <w:sz w:val="28"/>
    </w:rPr>
  </w:style>
  <w:style w:customStyle="1" w:styleId="ImageCaption" w:type="paragraph">
    <w:name w:val="Image Caption"/>
    <w:basedOn w:val="Caption"/>
    <w:pPr>
      <w:spacing w:line="360" w:lineRule="auto"/>
      <w:ind w:firstLine="0"/>
    </w:pPr>
    <w:rPr>
      <w:rFonts w:ascii="Times New Roman" w:cs="Times New Roman" w:eastAsia="Times New Roman" w:hAnsi="Times New Roman"/>
      <w:i w:val="0"/>
      <w:color w:val="000000"/>
      <w:sz w:val="28"/>
    </w:rPr>
  </w:style>
  <w:style w:customStyle="1" w:styleId="Figure" w:type="paragraph">
    <w:name w:val="Figure"/>
    <w:basedOn w:val="Normal"/>
    <w:pPr>
      <w:spacing w:line="360" w:lineRule="auto"/>
    </w:pPr>
    <w:rPr>
      <w:rFonts w:ascii="Times New Roman" w:cs="Times New Roman" w:eastAsia="Times New Roman" w:hAnsi="Times New Roman"/>
      <w:color w:val="000000"/>
      <w:sz w:val="28"/>
    </w:rPr>
  </w:style>
  <w:style w:customStyle="1" w:styleId="CaptionedFigure" w:type="paragraph">
    <w:name w:val="Captioned Figure"/>
    <w:basedOn w:val="Figure"/>
    <w:pPr>
      <w:keepNext/>
      <w:spacing w:line="360" w:lineRule="auto"/>
    </w:pPr>
    <w:rPr>
      <w:rFonts w:ascii="Times New Roman" w:cs="Times New Roman" w:eastAsia="Times New Roman" w:hAnsi="Times New Roman"/>
      <w:color w:val="000000"/>
      <w:sz w:val="28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360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  <w:sz w:val="28"/>
    </w:rPr>
  </w:style>
  <w:style w:customStyle="1" w:styleId="Врезка" w:type="paragraph">
    <w:name w:val="Врезка"/>
    <w:basedOn w:val="BodyText"/>
    <w:pPr>
      <w:spacing w:after="60" w:before="60"/>
      <w:ind w:firstLine="0"/>
      <w:pBdr>
        <w:top w:color="000000" w:space="4" w:sz="4" w:val="single"/>
        <w:left w:color="000000" w:space="4" w:sz="4" w:val="single"/>
        <w:bottom w:color="000000" w:space="4" w:sz="4" w:val="single"/>
        <w:right w:color="000000" w:space="4" w:sz="4" w:val="single"/>
      </w:pBdr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svg" /><Relationship Type="http://schemas.openxmlformats.org/officeDocument/2006/relationships/image" Id="rId39" Target="media/rId39.svg" /><Relationship Type="http://schemas.openxmlformats.org/officeDocument/2006/relationships/image" Id="rId20" Target="media/rId20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2026-10-17T15:39:27Z</dcterms:created>
  <dcterms:modified xsi:type="dcterms:W3CDTF">2026-10-17T15:39:27Z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../shablony/gost-r-7-0-5-2008-numeric.csl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link-citations">
    <vt:lpwstr>False</vt:lpwstr>
  </property>
  <property fmtid="{D5CDD505-2E9C-101B-9397-08002B2CF9AE}" pid="11" name="number-depth">
    <vt:lpwstr>3</vt:lpwstr>
  </property>
  <property fmtid="{D5CDD505-2E9C-101B-9397-08002B2CF9AE}" pid="12" name="toc-title">
    <vt:lpwstr>Содержание</vt:lpwstr>
  </property>
</Properties>
</file>