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7.png" ContentType="image/png"/>
  <Override PartName="/word/media/rId2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Иерархическая структура работ (WBS)</w:t>
      </w:r>
    </w:p>
    <w:bookmarkStart w:id="23" w:name="Xf6ce2f3e26ae9c5444a6152f54369642d070d7d"/>
    <w:p>
      <w:pPr>
        <w:pStyle w:val="Heading2"/>
      </w:pPr>
      <w:r>
        <w:t xml:space="preserve">Зачем нужна WBS и где она стоит в проекте</w:t>
      </w:r>
    </w:p>
    <w:p>
      <w:pPr>
        <w:pStyle w:val="FirstParagraph"/>
      </w:pPr>
      <w:r>
        <w:t xml:space="preserve">Выбранная ветвь дерева целей — это желаемое состояние («влажность на глубине корней видна»), а не работа. По ней нельзя назначить ответственного, оценить срок и посчитать стоимость. Следующий шаг — разложить выбранное содержание на части, которые можно сделать, проверить и оценить. Такое разложение называется</w:t>
      </w:r>
      <w:r>
        <w:t xml:space="preserve"> </w:t>
      </w:r>
      <w:r>
        <w:rPr>
          <w:b/>
          <w:bCs/>
        </w:rPr>
        <w:t xml:space="preserve">иерархической структурой работ</w:t>
      </w:r>
      <w:r>
        <w:t xml:space="preserve"> </w:t>
      </w:r>
      <w:r>
        <w:t xml:space="preserve">(WBS, work breakdown structure).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stack/quarto-1.8.26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Определение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Иерархическая структура работ — иерархическая декомпозиция всего объёма работ, который команда должна выполнить, чтобы достичь целей проекта и получить требуемые результаты</w:t>
            </w:r>
            <w:r>
              <w:t xml:space="preserve"> </w:t>
            </w:r>
            <w:r>
              <w:t xml:space="preserve">[1]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Правило 100 %.</w:t>
      </w:r>
      <w:r>
        <w:t xml:space="preserve"> </w:t>
      </w:r>
      <w:r>
        <w:t xml:space="preserve">WBS включает всю работу, входящую в содержание проекта, и ничего сверх него</w:t>
      </w:r>
      <w:r>
        <w:t xml:space="preserve"> </w:t>
      </w:r>
      <w:r>
        <w:t xml:space="preserve">[2]</w:t>
      </w:r>
      <w:r>
        <w:t xml:space="preserve">. Термины проектного управления на русском языке приведены в стандарте</w:t>
      </w:r>
      <w:r>
        <w:t xml:space="preserve"> </w:t>
      </w:r>
      <w:r>
        <w:t xml:space="preserve">[3]</w:t>
      </w:r>
      <w:r>
        <w:t xml:space="preserve">.</w:t>
      </w:r>
    </w:p>
    <w:bookmarkEnd w:id="23"/>
    <w:bookmarkStart w:id="30" w:name="пример-умный-горшок"/>
    <w:p>
      <w:pPr>
        <w:pStyle w:val="Heading2"/>
      </w:pPr>
      <w:r>
        <w:t xml:space="preserve">Пример: умный горшок</w:t>
      </w:r>
    </w:p>
    <w:p>
      <w:pPr>
        <w:pStyle w:val="FirstParagraph"/>
      </w:pPr>
      <w:r>
        <w:t xml:space="preserve">Дерево работ умного горшка показано на рис.</w:t>
      </w:r>
      <w:r>
        <w:t xml:space="preserve"> </w:t>
      </w:r>
      <w:hyperlink w:anchor="fig-wbs">
        <w:r>
          <w:rPr>
            <w:rStyle w:val="Hyperlink"/>
          </w:rPr>
          <w:t xml:space="preserve">1</w:t>
        </w:r>
      </w:hyperlink>
      <w:r>
        <w:t xml:space="preserve">, пакеты работ и то, что по ним предъявляется, — в таблице</w:t>
      </w:r>
      <w:r>
        <w:t xml:space="preserve"> </w:t>
      </w:r>
      <w:hyperlink w:anchor="tbl-pakety">
        <w:r>
          <w:rPr>
            <w:rStyle w:val="Hyperlink"/>
          </w:rPr>
          <w:t xml:space="preserve">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wbs"/>
          <w:p>
            <w:pPr>
              <w:pStyle w:val="Compact"/>
              <w:jc w:val="center"/>
            </w:pPr>
            <w:r>
              <w:drawing>
                <wp:inline>
                  <wp:extent cx="3552825" cy="2790825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risunki/wbs_print.sv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2825" cy="2790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1. WBS умного горшка</w:t>
            </w:r>
          </w:p>
          <w:bookmarkEnd w:id="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paket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1. Пакеты работ умного горшка (фрагмент)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Код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Элемент WBS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Что предъявляем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Компоненты подобраны и куплены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список компонентов с ценами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Схема собрана и проверена на столе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показания на трёх образцах почвы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Десять циклов полива на трёх растениях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протокол испытаний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Письменный отчёт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отчёт</w:t>
                  </w:r>
                </w:p>
              </w:tc>
            </w:tr>
          </w:tbl>
          <w:bookmarkEnd w:id="29"/>
          <w:p/>
        </w:tc>
      </w:tr>
    </w:tbl>
    <w:bookmarkEnd w:id="30"/>
    <w:bookmarkStart w:id="35" w:name="что-дальше"/>
    <w:p>
      <w:pPr>
        <w:pStyle w:val="Heading2"/>
      </w:pPr>
      <w:r>
        <w:t xml:space="preserve">Что дальше</w:t>
      </w:r>
    </w:p>
    <w:p>
      <w:pPr>
        <w:pStyle w:val="FirstParagraph"/>
      </w:pPr>
      <w:r>
        <w:t xml:space="preserve">Пакеты с оценкой длительности становятся входом календарного плана: на следующем шаге команда расставит их по порядку и построит диаграмму Ганта.</w:t>
      </w:r>
    </w:p>
    <w:bookmarkStart w:id="34" w:name="refs"/>
    <w:bookmarkStart w:id="31" w:name="ref-pmbok7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Project Management Institute. A Guide to the Project Management Body of Knowledge (PMBOK Guide). 7-е изд. Newtown Square, PA: Project Management Institute, 2021.</w:t>
      </w:r>
    </w:p>
    <w:bookmarkEnd w:id="31"/>
    <w:bookmarkStart w:id="32" w:name="ref-pmi-wb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Project Management Institute. Practice Standard for Work Breakdown Structures. 3-е изд. Newtown Square, PA: Project Management Institute, 2019.</w:t>
      </w:r>
    </w:p>
    <w:bookmarkEnd w:id="32"/>
    <w:bookmarkStart w:id="33" w:name="ref-gost21500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ГОСТ Р ИСО 21500-2014. Руководство по проектному менеджменту. Москва: Стандартинформ, 2014.</w:t>
      </w:r>
    </w:p>
    <w:bookmarkEnd w:id="33"/>
    <w:bookmarkEnd w:id="34"/>
    <w:bookmarkEnd w:id="35"/>
    <w:sectPr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ind w:firstLine="709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  <w:ind w:firstLine="709"/>
    </w:pPr>
    <w:rPr>
      <w:rFonts w:ascii="Times New Roman" w:cs="Times New Roman" w:eastAsia="Times New Roman" w:hAnsi="Times New Roman"/>
      <w:color w:val="000000"/>
      <w:sz w:val="2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360" w:lineRule="auto"/>
      <w:jc w:val="center"/>
    </w:pPr>
    <w:rPr>
      <w:rFonts w:ascii="Times New Roman" w:cs="Times New Roman" w:eastAsia="Times New Roman" w:hAnsi="Times New Roman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360" w:lineRule="auto"/>
      <w:jc w:val="center"/>
    </w:pPr>
    <w:rPr>
      <w:rFonts w:ascii="Times New Roman" w:cs="Times New Roman" w:eastAsia="Times New Roman" w:hAnsi="Times New Roman"/>
      <w:color w:val="00000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360" w:lineRule="auto"/>
      <w:jc w:val="center"/>
    </w:pPr>
    <w:rPr>
      <w:rFonts w:ascii="Times New Roman" w:cs="Times New Roman" w:eastAsia="Times New Roman" w:hAnsi="Times New Roman"/>
      <w:color w:val="000000"/>
      <w:sz w:val="28"/>
    </w:rPr>
  </w:style>
  <w:style w:styleId="Date" w:type="paragraph">
    <w:name w:val="Date"/>
    <w:next w:val="BodyText"/>
    <w:qFormat/>
    <w:pPr>
      <w:keepNext/>
      <w:keepLines/>
      <w:spacing w:line="360" w:lineRule="auto"/>
      <w:jc w:val="center"/>
    </w:pPr>
    <w:rPr>
      <w:rFonts w:ascii="Times New Roman" w:cs="Times New Roman" w:eastAsia="Times New Roman" w:hAnsi="Times New Roman"/>
      <w:color w:val="000000"/>
      <w:sz w:val="2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 w:line="360" w:lineRule="auto"/>
    </w:pPr>
    <w:rPr>
      <w:color w:val="000000"/>
      <w:sz w:val="28"/>
      <w:szCs w:val="20"/>
      <w:rFonts w:ascii="Times New Roman" w:cs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360" w:lineRule="auto"/>
    </w:pPr>
    <w:rPr>
      <w:rFonts w:ascii="Times New Roman" w:cs="Times New Roman" w:eastAsia="Times New Roman" w:hAnsi="Times New Roman"/>
      <w:color w:val="000000"/>
      <w:sz w:val="28"/>
      <w:szCs w:val="20"/>
    </w:rPr>
  </w:style>
  <w:style w:styleId="Bibliography" w:type="paragraph">
    <w:name w:val="Bibliography"/>
    <w:basedOn w:val="Normal"/>
    <w:next w:val="Bibliography"/>
    <w:qFormat/>
    <w:pPr>
      <w:spacing w:line="360" w:lineRule="auto"/>
    </w:pPr>
    <w:rPr>
      <w:rFonts w:ascii="Times New Roman" w:cs="Times New Roman" w:eastAsia="Times New Roman" w:hAnsi="Times New Roman"/>
      <w:color w:val="000000"/>
      <w:sz w:val="28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 w:line="360" w:lineRule="auto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3"/>
    </w:pPr>
    <w:rPr>
      <w:rFonts w:ascii="Times New Roman" w:cs="Times New Roman" w:eastAsia="Times New Roman" w:hAnsi="Times New Roman"/>
      <w:i w:val="0"/>
      <w:b/>
      <w:bCs/>
      <w:color w:val="000000"/>
      <w:sz w:val="28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4"/>
    </w:pPr>
    <w:rPr>
      <w:rFonts w:ascii="Times New Roman" w:cs="Times New Roman" w:eastAsia="Times New Roman" w:hAnsi="Times New Roman"/>
      <w:b/>
      <w:i w:val="0"/>
      <w:iCs/>
      <w:color w:val="000000"/>
      <w:sz w:val="28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5"/>
    </w:pPr>
    <w:rPr>
      <w:rFonts w:ascii="Times New Roman" w:cs="Times New Roman" w:eastAsia="Times New Roman" w:hAnsi="Times New Roman"/>
      <w:b/>
      <w:i w:val="0"/>
      <w:color w:val="000000"/>
      <w:sz w:val="28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6"/>
    </w:pPr>
    <w:rPr>
      <w:rFonts w:ascii="Times New Roman" w:cs="Times New Roman" w:eastAsia="Times New Roman" w:hAnsi="Times New Roman"/>
      <w:b/>
      <w:i w:val="0"/>
      <w:color w:val="000000"/>
      <w:sz w:val="28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7"/>
    </w:pPr>
    <w:rPr>
      <w:rFonts w:ascii="Times New Roman" w:cs="Times New Roman" w:eastAsia="Times New Roman" w:hAnsi="Times New Roman"/>
      <w:b/>
      <w:i w:val="0"/>
      <w:color w:val="000000"/>
      <w:sz w:val="28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8"/>
    </w:pPr>
    <w:rPr>
      <w:rFonts w:ascii="Times New Roman" w:cs="Times New Roman" w:eastAsia="Times New Roman" w:hAnsi="Times New Roman"/>
      <w:b/>
      <w:i w:val="0"/>
      <w:color w:val="000000"/>
      <w:sz w:val="28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360" w:lineRule="auto"/>
      <w:ind w:firstLine="0" w:left="480" w:right="480"/>
    </w:pPr>
    <w:rPr>
      <w:rFonts w:ascii="Times New Roman" w:cs="Times New Roman" w:eastAsia="Times New Roman" w:hAnsi="Times New Roman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360" w:lineRule="auto"/>
    </w:pPr>
    <w:rPr>
      <w:rFonts w:ascii="Times New Roman" w:cs="Times New Roman" w:eastAsia="Times New Roman" w:hAnsi="Times New Roman"/>
      <w:color w:val="000000"/>
      <w:sz w:val="2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360" w:lineRule="auto"/>
    </w:pPr>
    <w:rPr>
      <w:rFonts w:ascii="Times New Roman" w:cs="Times New Roman" w:eastAsia="Times New Roman" w:hAnsi="Times New Roman"/>
      <w:b/>
      <w:color w:val="000000"/>
      <w:sz w:val="28"/>
    </w:rPr>
  </w:style>
  <w:style w:customStyle="1" w:styleId="Definition" w:type="paragraph">
    <w:name w:val="Definition"/>
    <w:basedOn w:val="Normal"/>
    <w:pPr>
      <w:spacing w:line="360" w:lineRule="auto"/>
    </w:pPr>
    <w:rPr>
      <w:rFonts w:ascii="Times New Roman" w:cs="Times New Roman" w:eastAsia="Times New Roman" w:hAnsi="Times New Roman"/>
      <w:color w:val="000000"/>
      <w:sz w:val="28"/>
    </w:rPr>
  </w:style>
  <w:style w:styleId="Caption" w:type="paragraph">
    <w:name w:val="Caption"/>
    <w:basedOn w:val="Normal"/>
    <w:link w:val="BodyTextChar"/>
    <w:pPr>
      <w:spacing w:after="120" w:before="0" w:line="360" w:lineRule="auto"/>
      <w:ind w:firstLine="0"/>
    </w:pPr>
    <w:rPr>
      <w:rFonts w:ascii="Times New Roman" w:cs="Times New Roman" w:eastAsia="Times New Roman" w:hAnsi="Times New Roman"/>
      <w:i w:val="0"/>
      <w:color w:val="000000"/>
      <w:sz w:val="28"/>
    </w:rPr>
  </w:style>
  <w:style w:customStyle="1" w:styleId="TableCaption" w:type="paragraph">
    <w:name w:val="Table Caption"/>
    <w:basedOn w:val="Caption"/>
    <w:pPr>
      <w:keepNext/>
      <w:spacing w:line="360" w:lineRule="auto"/>
      <w:ind w:firstLine="0"/>
    </w:pPr>
    <w:rPr>
      <w:rFonts w:ascii="Times New Roman" w:cs="Times New Roman" w:eastAsia="Times New Roman" w:hAnsi="Times New Roman"/>
      <w:i w:val="0"/>
      <w:color w:val="000000"/>
      <w:sz w:val="28"/>
    </w:rPr>
  </w:style>
  <w:style w:customStyle="1" w:styleId="ImageCaption" w:type="paragraph">
    <w:name w:val="Image Caption"/>
    <w:basedOn w:val="Caption"/>
    <w:pPr>
      <w:spacing w:line="360" w:lineRule="auto"/>
      <w:ind w:firstLine="0"/>
    </w:pPr>
    <w:rPr>
      <w:rFonts w:ascii="Times New Roman" w:cs="Times New Roman" w:eastAsia="Times New Roman" w:hAnsi="Times New Roman"/>
      <w:i w:val="0"/>
      <w:color w:val="000000"/>
      <w:sz w:val="28"/>
    </w:rPr>
  </w:style>
  <w:style w:customStyle="1" w:styleId="Figure" w:type="paragraph">
    <w:name w:val="Figure"/>
    <w:basedOn w:val="Normal"/>
    <w:pPr>
      <w:spacing w:line="360" w:lineRule="auto"/>
    </w:pPr>
    <w:rPr>
      <w:rFonts w:ascii="Times New Roman" w:cs="Times New Roman" w:eastAsia="Times New Roman" w:hAnsi="Times New Roman"/>
      <w:color w:val="000000"/>
      <w:sz w:val="28"/>
    </w:rPr>
  </w:style>
  <w:style w:customStyle="1" w:styleId="CaptionedFigure" w:type="paragraph">
    <w:name w:val="Captioned Figure"/>
    <w:basedOn w:val="Figure"/>
    <w:pPr>
      <w:keepNext/>
      <w:spacing w:line="360" w:lineRule="auto"/>
    </w:pPr>
    <w:rPr>
      <w:rFonts w:ascii="Times New Roman" w:cs="Times New Roman" w:eastAsia="Times New Roman" w:hAnsi="Times New Roman"/>
      <w:color w:val="000000"/>
      <w:sz w:val="28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360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  <w:sz w:val="2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24" Target="media/rId2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Иерархическая структура работ (WBS)</dc:title>
  <dc:creator/>
  <dc:language>ru</dc:language>
  <cp:keywords/>
  <dcterms:created xsi:type="dcterms:W3CDTF">2026-10-17T13:56:20Z</dcterms:created>
  <dcterms:modified xsi:type="dcterms:W3CDTF">2026-10-17T13:56:20Z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istochniki.bib</vt:lpwstr>
  </property>
  <property fmtid="{D5CDD505-2E9C-101B-9397-08002B2CF9AE}" pid="4" name="crossref">
    <vt:lpwstr/>
  </property>
  <property fmtid="{D5CDD505-2E9C-101B-9397-08002B2CF9AE}" pid="5" name="csl">
    <vt:lpwstr>shablony/gost-r-7-0-5-2008-numeric.csl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