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5AAA"/>
          <w:sz w:val="18"/>
          <w:szCs w:val="18"/>
        </w:rPr>
        <w:t xml:space="preserve">ГУАП · Институт ФПТИ · Кафедра № 3 (Физика)</w:t>
      </w:r>
    </w:p>
    <w:p>
      <w:pPr>
        <w:spacing w:after="200"/>
      </w:pPr>
      <w:r>
        <w:rPr>
          <w:i/>
          <w:iCs/>
          <w:color w:val="1E293B"/>
          <w:sz w:val="18"/>
          <w:szCs w:val="18"/>
        </w:rPr>
        <w:t xml:space="preserve">Разбор РПД + критический аудит · 2 курс · внутреннее использование</w:t>
      </w:r>
    </w:p>
    <w:p>
      <w:pPr>
        <w:pStyle w:val="Title"/>
        <w:spacing w:after="80"/>
      </w:pPr>
      <w:r>
        <w:rPr>
          <w:b/>
          <w:bCs/>
          <w:color w:val="005AAA"/>
          <w:sz w:val="28"/>
          <w:szCs w:val="28"/>
        </w:rPr>
        <w:t xml:space="preserve">«Основы проектной деятельности» — разбор РПД 2 курса</w:t>
      </w:r>
    </w:p>
    <w:p>
      <w:pPr>
        <w:spacing w:after="260"/>
      </w:pPr>
      <w:r>
        <w:rPr>
          <w:color w:val="1E293B"/>
          <w:sz w:val="20"/>
          <w:szCs w:val="20"/>
        </w:rPr>
        <w:t xml:space="preserve">2 курс · 3 семестр · набор 2025 г. · направление 03.03.01 · Попов Д. А.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E70F47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70F47"/>
                <w:sz w:val="19"/>
                <w:szCs w:val="19"/>
              </w:rPr>
              <w:t xml:space="preserve">Главный вывод наперёд</w:t>
            </w:r>
          </w:p>
          <w:p>
            <w:pPr>
              <w:spacing w:after="0" w:line="285"/>
            </w:pPr>
            <w:r>
              <w:rPr>
                <w:color w:val="1E293B"/>
                <w:sz w:val="18"/>
                <w:szCs w:val="18"/>
              </w:rPr>
              <w:t xml:space="preserve">Это не «продвинутая версия ОПДВП» — это курс с другой архитектурой практикума, другой литературой и другим набором компетенций. Часть выводов из аудита 1 курса сюда не переносится напрямую; часть подтверждается ещё острее.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1. Паспорт дисциплины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Семестр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3-й (2 курс, 1 семестр) · набор 2025 г.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Трудоёмкость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72 часа = 2 ЗЕТ · Лекции 17 ч · ПЗ 34 ч (17 практик по 2 ч) · СРС 21 ч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Курсовая работа/проект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E70F47"/>
                <w:sz w:val="18"/>
                <w:szCs w:val="18"/>
              </w:rPr>
              <w:t xml:space="preserve">НЕ ПРЕДУСМОТРЕНА учебным планом (п. 4.5) — как и в ОПДВП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Форма контроля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Зачёт. Оценочные средства: список вопросов, тесты, задачи. Порог допуска (% практик) в РПД не указан — в отличие от ОПДВП, где чётко «≥75%»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Автор РПД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доц., к.ф.-м.н. Ю. А. Новикова; утв. зав. каф. №3 А. В. Копыльцов, 10.02.2025 — на год раньше РПД ОПДВП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ПО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MS Windows, MS Office (в ОПДВП — «не предусмотрено»)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Внешние ресурсы</w:t>
            </w:r>
          </w:p>
        </w:tc>
        <w:tc>
          <w:tcPr>
            <w:tcW w:type="dxa" w:w="5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pmsoft.ru («Проектный портал»), dobro.ru (портал волонтёрства)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2. Компетенции — шире, чем в ОПДВП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0"/>
      </w:tblGrid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Формулировка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УК-1</w:t>
            </w:r>
          </w:p>
        </w:tc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Поиск/анализ/синтез информации — индикаторы явно включают работу с ИИ («с использованием искусственного интеллекта»)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УК-2</w:t>
            </w:r>
          </w:p>
        </w:tc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Определение задач, выбор решений, разработка паспорта проекта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УК-3</w:t>
            </w:r>
          </w:p>
        </w:tc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Социальное взаимодействие, роль в команде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УК-5</w:t>
            </w:r>
          </w:p>
        </w:tc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Межкультурное разнообразие, гражданская позиция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ОПК-3</w:t>
            </w:r>
          </w:p>
        </w:tc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НОВОЕ: составление и оформление научных/технических отчётов, публикаций, проектов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ОПК-4</w:t>
            </w:r>
          </w:p>
        </w:tc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НОВОЕ: сбор и обработка научно-технической/технологической информации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ПК-2</w:t>
            </w:r>
          </w:p>
        </w:tc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НОВОЕ: стратегии командного сотрудничества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ПК-4</w:t>
            </w:r>
          </w:p>
        </w:tc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НОВОЕ: технические требования к модернизации технологических линий и оборудования — узкоспециализированная инженерная компетенция</w:t>
            </w:r>
          </w:p>
        </w:tc>
      </w:tr>
    </w:tbl>
    <w:p>
      <w:pPr>
        <w:spacing w:after="120" w:line="300"/>
      </w:pPr>
      <w:r>
        <w:rPr>
          <w:b w:val="false"/>
          <w:bCs w:val="false"/>
          <w:i/>
          <w:iCs/>
          <w:color w:val="E70F47"/>
          <w:sz w:val="18"/>
          <w:szCs w:val="18"/>
        </w:rPr>
        <w:t xml:space="preserve">ОПК-3/ОПК-4/ПК-4 отсутствуют в ОПДВП полностью — это тот самый R&amp;D/инженерный акцент 2 курса. Но ни РНФ, ни УМНИК, ни термин «R&amp;D» в тексте РПД не встречаются ни разу — этот акцент нужно вносить самостоятельно.</w:t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3. Структура по разделам (Табл. 3 РПД)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40"/>
        <w:gridCol w:w="1540"/>
        <w:gridCol w:w="1540"/>
      </w:tblGrid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Лекции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ПЗ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СРС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Проекты и проектная деятельность (темы 1.1–1.5)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2. Методология проектной деятельности — классические подходы (темы 2.1–2.4)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 Команда проекта (темы 3.1–3.3)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4. Введение в социальное проектирование (темы 4.1–4.5)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5. Выработка гипотезы проектного решения и её проверка (темы 5.1–5.4)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6. Результаты и оценка проектной деятельности (темы 6.1–6.4)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34</w:t>
            </w:r>
          </w:p>
        </w:tc>
        <w:tc>
          <w:tcPr>
            <w:tcW w:type="dxa" w:w="15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21</w:t>
            </w:r>
          </w:p>
        </w:tc>
      </w:tr>
    </w:tbl>
    <w:p>
      <w:pPr>
        <w:spacing w:after="120" w:line="300"/>
      </w:pPr>
      <w:r>
        <w:rPr>
          <w:b w:val="false"/>
          <w:bCs w:val="false"/>
          <w:i/>
          <w:iCs/>
          <w:color w:val="1E293B"/>
          <w:sz w:val="18"/>
          <w:szCs w:val="18"/>
        </w:rPr>
        <w:t xml:space="preserve">Здесь раскладка часов по разделам (Табл. 3) и по практикам (Табл. 5) СОГЛАСОВАНА — в отличие от ОПДВП, где было расхождение 10/12/12 vs 15/15/4. Это плюс к методической аккуратности РПД-2.</w:t>
      </w:r>
    </w:p>
    <w:p>
      <w:r>
        <w:br w:type="pag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4. Практикум: 17 занятий по 2 часа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>Каждая практика почти дословно повторяет название темы лекции того же раздела — это не интегративный практикум, а серия семинаров-закреплений.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20"/>
        <w:gridCol w:w="1200"/>
        <w:gridCol w:w="15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5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Тема практики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Часы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Раздел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1–3</w:t>
            </w:r>
          </w:p>
        </w:tc>
        <w:tc>
          <w:tcPr>
            <w:tcW w:type="dxa" w:w="5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Определение проекта · Виды и классификация · Стадии ЖЦ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2+2+2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4–7</w:t>
            </w:r>
          </w:p>
        </w:tc>
        <w:tc>
          <w:tcPr>
            <w:tcW w:type="dxa" w:w="5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Цели и содержание · Дерево проблем/целей · Декомпозиция · Методы управления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2×4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8–9</w:t>
            </w:r>
          </w:p>
        </w:tc>
        <w:tc>
          <w:tcPr>
            <w:tcW w:type="dxa" w:w="5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Оргструктура и ответственность · Сбалансированность команды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2+2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10–13</w:t>
            </w:r>
          </w:p>
        </w:tc>
        <w:tc>
          <w:tcPr>
            <w:tcW w:type="dxa" w:w="5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Соц. проект · Выявление проблем · Ресурсы · Планирование соц. проекта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2×4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14–15</w:t>
            </w:r>
          </w:p>
        </w:tc>
        <w:tc>
          <w:tcPr>
            <w:tcW w:type="dxa" w:w="5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PEST-анализ · SWOT-анализ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2+2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16–17</w:t>
            </w:r>
          </w:p>
        </w:tc>
        <w:tc>
          <w:tcPr>
            <w:tcW w:type="dxa" w:w="5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Письменный отчёт · Презентация проекта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2+2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34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E70F47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70F47"/>
                <w:sz w:val="19"/>
                <w:szCs w:val="19"/>
              </w:rPr>
              <w:t xml:space="preserve">Структурный риск №1</w:t>
            </w:r>
          </w:p>
          <w:p>
            <w:pPr>
              <w:spacing w:after="0" w:line="285"/>
            </w:pPr>
            <w:r>
              <w:rPr>
                <w:color w:val="1E293B"/>
                <w:sz w:val="18"/>
                <w:szCs w:val="18"/>
              </w:rPr>
              <w:t xml:space="preserve">17 практик по 2 часа против 7 практик по 4–5 часов в ОПДВП — принципиально другой формат. Плюс: каждая тема закрепляется сразу. Минус: не закладывает работу над одним артефактом, который растёт от занятия к занятию — риск, что каждая практика проживается изолированно, а не как шаг в общем проекте.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5. Литература — не Редько, не Акопян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Пастухова Л. С. «Социально-проектная деятельность как открытое воспитательное пространство...» — ИНФРА-М, 2022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Байлук В. В. «Научная деятельность студентов: системный анализ» — ИНФРА-М, 2019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Шкурко В. Е. «Управление рисками проекта» — Юрайт, 2019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Поляков Н. А. и др. «Управление инновационными проектами» — Юрайт, 2019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005AAA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5AAA"/>
                <w:sz w:val="19"/>
                <w:szCs w:val="19"/>
              </w:rPr>
              <w:t xml:space="preserve">Практическое следствие</w:t>
            </w:r>
          </w:p>
          <w:p>
            <w:pPr>
              <w:spacing w:after="0" w:line="285"/>
            </w:pPr>
            <w:r>
              <w:rPr>
                <w:color w:val="1E293B"/>
                <w:sz w:val="18"/>
                <w:szCs w:val="18"/>
              </w:rPr>
              <w:t xml:space="preserve">Шаблоны из Редько (Образ продукта, RACI, реестр рисков), которые уже сделаны для практик №1–2 ОПДВП, не имеют официальной опоры здесь. Для 2 курса разумнее опираться на Шкурко (риски) и Полякова (инновационные проекты) — либо явно перенести инструментарий Редько как осознанное дополнение, а не предполагаемый источник.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6. Контент лекций — местами современнее ОПДВП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Тема 2.4 прямо называет PMBOK, PRINCE2 и Agile как параллельные методы — не классификацией в конце учебника, а содержанием лекции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Упомянуты современные инструменты коммуникации — Slack, Microsoft Teams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Есть типы оргструктур проекта — функциональная / проектная / матричная (в ОПДВП полностью отсутствует)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Есть дерево проблем / дерево целей — классический logframe-инструмент, тоже отсутствует в ОПДВП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Раздел 5 включает PEST- и SWOT-анализ — инструменты стратегического анализа, которых нет в ОПДВП вовсе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E70F47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70F47"/>
                <w:sz w:val="19"/>
                <w:szCs w:val="19"/>
              </w:rPr>
              <w:t xml:space="preserve">Но есть и оговорка</w:t>
            </w:r>
          </w:p>
          <w:p>
            <w:pPr>
              <w:spacing w:after="0" w:line="285"/>
            </w:pPr>
            <w:r>
              <w:rPr>
                <w:color w:val="1E293B"/>
                <w:sz w:val="18"/>
                <w:szCs w:val="18"/>
              </w:rPr>
              <w:t xml:space="preserve">SWOT — не бесспорно «лучшая практика». Исследование 212 руководителей компаний Fortune 1000 (Menon et al., 1999) связало использование SWOT с ухудшением результатов; экс-декан Rotman School Роджер Мартин называет SWOT «ужасным способом начинать процесс стратегии». РПД подаёт SWOT/PEST некритично, как готовый инструмент, а не как один из вариантов с известными ограничениями — мировая практика преподавания стратегии в 2020-х чаще учит именно этой критичности.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spacing w:after="120" w:line="300"/>
      </w:pPr>
      <w:r>
        <w:rPr>
          <w:b w:val="false"/>
          <w:bCs w:val="false"/>
          <w:i/>
          <w:iCs/>
          <w:color w:val="1E293B"/>
          <w:sz w:val="18"/>
          <w:szCs w:val="18"/>
        </w:rPr>
        <w:t xml:space="preserve">При этом ни PMBOK, ни Agile, ни оргструктуры не отрабатываются руками — из 17 практик ни одна не посвящена практике agile-ритуалов, выбору оргструктуры под свой проект или разработке SWOT для собственной идеи. Экзаменационный банк проверяет это только на узнавание (вопрос №8: "Какие из следующих утверждений верны? a) Agile подходит для проектов с быстро меняющимися требованиями...").</w:t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7. Несостыковки, которые стоит знать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PERT-метод встречается в вопросе к зачёту («Метод PERT помогает определить вероятную продолжительность проекта»), но не упомянут ни в одной теме лекций — пробел между оценкой и содержанием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Банк вопросов к зачёту — около 26 вопросов, вместо ~100 в ОПДВП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Порог допуска к зачёту (% практик) в РПД не зафиксирован — в ОПДВП чётко «не менее 75%»</w:t>
      </w:r>
    </w:p>
    <w:p>
      <w:pPr>
        <w:spacing w:after="80" w:line="285"/>
        <w:ind w:left="340"/>
      </w:pPr>
      <w:r>
        <w:rPr>
          <w:b/>
          <w:bCs/>
          <w:color w:val="005AAA"/>
          <w:sz w:val="19"/>
          <w:szCs w:val="19"/>
        </w:rPr>
        <w:t xml:space="preserve">— </w:t>
      </w:r>
      <w:r>
        <w:rPr>
          <w:b w:val="false"/>
          <w:bCs w:val="false"/>
          <w:color w:val="1E293B"/>
          <w:sz w:val="19"/>
          <w:szCs w:val="19"/>
        </w:rPr>
        <w:t xml:space="preserve">УК-1 явно требует навыков работы с ИИ — РПД ОПДВП (принята годом позже) этого не требует вовсе</w:t>
      </w:r>
    </w:p>
    <w:p>
      <w:r>
        <w:br w:type="pag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8. Сравнение ОПДВП vs ОПД (2 курс) при равном объёме часов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0"/>
        <w:gridCol w:w="321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ОПДВП (1 курс)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ОПД (2 курс)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 работ по 4–5 ч, кумулятивный артефакт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17 работ по 2 ч, зеркалят лекции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Литература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Редько (СПбПУ), Акопян (ГУАП)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Пастухова, Байлук, Шкурко, Поляков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PM-методологии в тексте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Только классика (Waterfall-набор), Agile — 1 абзац классификации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PMBOK + PRINCE2 + Agile названы вместе, есть оргструктуры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Специфичные инструменты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SMART, Образ продукта, RACI, реестр рисков, Белбин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Дерево целей, PEST, SWOT, орг.структуры, грантовая экспертиза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ИИ в компетенциях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Не упомянут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Явно в УК-1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Порог допуска к зачёту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≥75% практик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Не указан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Банк вопросов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~100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~26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«Защита проекта» официально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Не требуется РПД — ваша надстройка</w:t>
            </w:r>
          </w:p>
        </w:tc>
        <w:tc>
          <w:tcPr>
            <w:tcW w:type="dxa" w:w="32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Не требуется РПД — решение ещё не принято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p>
      <w:pPr>
        <w:pStyle w:val="Heading1"/>
        <w:pBdr>
          <w:bottom w:val="single" w:color="005AAA" w:sz="6" w:space="4"/>
        </w:pBdr>
        <w:spacing w:after="160" w:before="320"/>
      </w:pPr>
      <w:r>
        <w:rPr>
          <w:b/>
          <w:bCs/>
          <w:color w:val="005AAA"/>
          <w:sz w:val="27"/>
          <w:szCs w:val="27"/>
        </w:rPr>
        <w:t xml:space="preserve">9. Что можно добавить без изменения часов РПД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0"/>
      </w:tblGrid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Предложение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Куда встроить</w:t>
            </w:r>
          </w:p>
        </w:tc>
        <w:tc>
          <w:tcPr>
            <w:tcW w:type="dxa" w:w="3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5AA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даёт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Явно назвать РНФ/УМНИК/Фонд Бортника в теме 6.1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 слайд лекции раздела 6 — тема уже про виды грантов, просто конкретизировать</w:t>
            </w:r>
          </w:p>
        </w:tc>
        <w:tc>
          <w:tcPr>
            <w:tcW w:type="dxa" w:w="3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Прямая практическая ценность для 2 курса, без противоречия РПД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Критический разбор SWOT/PEST (когда работает, когда нет)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Практики №14–15, 10 минут теории перед заданием</w:t>
            </w:r>
          </w:p>
        </w:tc>
        <w:tc>
          <w:tcPr>
            <w:tcW w:type="dxa" w:w="3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Учит инструменту и его границам одновременно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Связать 2–3 практики в один нарастающий кейс вместо изолированных 2-часовых блоков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Практики №4–7 (раздел 2) — уже логически последовательны: цели → дерево → декомпозиция → методы</w:t>
            </w:r>
          </w:p>
        </w:tc>
        <w:tc>
          <w:tcPr>
            <w:tcW w:type="dxa" w:w="3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Снижает риск «семинара ради семинара», не трогая часы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Явный слайд про PERT перед зачётом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СРС / подготовка к текущему контролю (7 ч уже заложены)</w:t>
            </w:r>
          </w:p>
        </w:tc>
        <w:tc>
          <w:tcPr>
            <w:tcW w:type="dxa" w:w="3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Закрывает разрыв между вопросом в тесте и содержанием лекций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Решить и явно закрепить формат «защита проекта» для 2 курса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Регламент практики №17 (презентация проекта) уже есть в РПД — логичное место</w:t>
            </w:r>
          </w:p>
        </w:tc>
        <w:tc>
          <w:tcPr>
            <w:tcW w:type="dxa" w:w="3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70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Либо переносите модель ОПДВП, либо сознательно проектируете новый формат — не оставляйте по умолчанию</w:t>
            </w:r>
          </w:p>
        </w:tc>
      </w:tr>
    </w:tbl>
    <w:p>
      <w:pPr>
        <w:spacing w:after="120" w:line="300"/>
      </w:pPr>
      <w:r>
        <w:rPr>
          <w:b w:val="false"/>
          <w:bCs w:val="false"/>
          <w:i w:val="false"/>
          <w:iCs w:val="false"/>
          <w:color w:val="1E293B"/>
          <w:sz w:val="19"/>
          <w:szCs w:val="19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BD5E1" w:sz="4"/>
              <w:left w:val="single" w:color="16A34A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Логичный следующий шаг</w:t>
            </w:r>
          </w:p>
          <w:p>
            <w:pPr>
              <w:spacing w:after="0" w:line="285"/>
            </w:pPr>
            <w:r>
              <w:rPr>
                <w:color w:val="1E293B"/>
                <w:sz w:val="18"/>
                <w:szCs w:val="18"/>
              </w:rPr>
              <w:t xml:space="preserve">Раз архитектура практикума здесь принципиально другая, есть смысл отдельно продумать: жёстко следовать 17 изолированным семинарам по методичке, или явно сгруппировать их в 6 мини-циклов (по разделам) вокруг одного сквозного проекта — ближе к логике ОПДВП, но без нарушения формальной раскладки часов.</w:t>
            </w:r>
          </w:p>
        </w:tc>
      </w:tr>
    </w:tbl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2026-09-09T23:36:02.243Z</dcterms:created>
  <dcterms:modified xsi:type="dcterms:W3CDTF">2026-09-09T23:36:02.243Z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