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5AAA"/>
          <w:sz w:val="18"/>
          <w:szCs w:val="18"/>
        </w:rPr>
        <w:t xml:space="preserve">ГУАП · Институт ФПТИ · Кафедра № 3 (Физика)</w:t>
      </w:r>
    </w:p>
    <w:p>
      <w:pPr>
        <w:spacing w:after="200"/>
      </w:pPr>
      <w:r>
        <w:rPr>
          <w:i/>
          <w:iCs/>
          <w:color w:val="1E293B"/>
          <w:sz w:val="18"/>
          <w:szCs w:val="18"/>
        </w:rPr>
        <w:t xml:space="preserve">Рабочий методический конспект преподавателя</w:t>
      </w:r>
    </w:p>
    <w:p>
      <w:pPr>
        <w:pStyle w:val="Title"/>
        <w:spacing w:after="80"/>
      </w:pPr>
      <w:r>
        <w:rPr>
          <w:b/>
          <w:bCs/>
          <w:color w:val="005AAA"/>
          <w:sz w:val="34"/>
          <w:szCs w:val="34"/>
        </w:rPr>
        <w:t xml:space="preserve">«Основы проектной деятельности в профессии»</w:t>
      </w:r>
    </w:p>
    <w:p>
      <w:pPr>
        <w:spacing w:after="260"/>
      </w:pPr>
      <w:r>
        <w:rPr>
          <w:color w:val="1E293B"/>
          <w:sz w:val="21"/>
          <w:szCs w:val="21"/>
        </w:rPr>
        <w:t xml:space="preserve">1 курс · 1 семестр · набор 2026 г. · направление 03.03.01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005AAA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5AAA"/>
                <w:sz w:val="20"/>
                <w:szCs w:val="20"/>
              </w:rPr>
              <w:t xml:space="preserve">Источники этой выжимки</w:t>
            </w:r>
          </w:p>
          <w:p>
            <w:pPr>
              <w:spacing w:after="0" w:line="290"/>
            </w:pPr>
            <w:r>
              <w:rPr>
                <w:color w:val="1E293B"/>
                <w:sz w:val="19"/>
                <w:szCs w:val="19"/>
              </w:rPr>
              <w:t xml:space="preserve">РПД «03_03_0102_О_ОПДВП_2026_0_3_1» (утв. 10.02.2026, протокол №12); учебное пособие «Основы проектной деятельности» (С. Г. Редько и др., СПбПУ, 2018, 85 с.); действующая презентация «Osnovy-proektnoj-deyatelnosti-v-professii.pptx» (вводная лекция, 10 слайдов, уже готова).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1. Паспорт дисциплины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Направление / профиль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03.03.01 Прикладные математика и физика — «Прикладная физика и информационные технологии в наноиндустрии»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Курс / семестр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 курс, 1 семестр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Трудоёмкость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72 часа = 2 ЗЕТ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Лекции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17 ч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Практические занятия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34 ч (7 практических работ)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Самостоятельная работа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21 ч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Курсовая работа/проект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70F47"/>
                <w:sz w:val="19"/>
                <w:szCs w:val="19"/>
              </w:rPr>
              <w:t xml:space="preserve">НЕ ПРЕДУСМОТРЕНА учебным планом (п. 4.5 РПД)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Форма контроля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Зачёт (1 семестр). Допуск — не менее 75% сданных практических работ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Автор РПД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доц., к.ф.-м.н. Ю. А. Новикова; утв. зав. каф. №3 А. В. Копыльцов, 10.02.2026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2. Формируемые компетенции (кратко)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Код</w:t>
            </w:r>
          </w:p>
        </w:tc>
        <w:tc>
          <w:tcPr>
            <w:tcW w:type="dxa" w:w="7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Формулировка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УК-1</w:t>
            </w:r>
          </w:p>
        </w:tc>
        <w:tc>
          <w:tcPr>
            <w:tcW w:type="dxa" w:w="7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Поиск, критический анализ и синтез информации; системный подход к задачам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УК-2</w:t>
            </w:r>
          </w:p>
        </w:tc>
        <w:tc>
          <w:tcPr>
            <w:tcW w:type="dxa" w:w="7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Определение круга задач и выбор решений с учётом норм, ресурсов и ограничений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УК-3</w:t>
            </w:r>
          </w:p>
        </w:tc>
        <w:tc>
          <w:tcPr>
            <w:tcW w:type="dxa" w:w="7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Социальное взаимодействие и реализация своей роли в команде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УК-5</w:t>
            </w:r>
          </w:p>
        </w:tc>
        <w:tc>
          <w:tcPr>
            <w:tcW w:type="dxa" w:w="7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Восприятие межкультурного разнообразия в социальном, этическом, философском контексте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УК-6</w:t>
            </w:r>
          </w:p>
        </w:tc>
        <w:tc>
          <w:tcPr>
            <w:tcW w:type="dxa" w:w="7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Управление своим временем, построение траектории саморазвития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ПК-0</w:t>
            </w:r>
          </w:p>
        </w:tc>
        <w:tc>
          <w:tcPr>
            <w:tcW w:type="dxa" w:w="7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Построение и реализация траектории профессионального саморазвития</w:t>
            </w:r>
          </w:p>
        </w:tc>
      </w:tr>
    </w:tbl>
    <w:p>
      <w:pPr>
        <w:spacing w:after="120" w:line="300"/>
      </w:pPr>
      <w:r>
        <w:rPr>
          <w:b w:val="false"/>
          <w:bCs w:val="false"/>
          <w:i/>
          <w:iCs/>
          <w:color w:val="1E293B"/>
          <w:sz w:val="19"/>
          <w:szCs w:val="19"/>
        </w:rPr>
        <w:t xml:space="preserve">Акцент 1 курса: УК-6 (тайм-менеджмент, адаптация к вузу) и ПК-0 (роль в команде, профессиональное самоопределение) — эти две компетенции стоит подсвечивать на каждом занятии отдельным слайдом-мостиком.</w:t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3. Структура дисциплины по разделам (Табл. 3 РПД)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1500"/>
        <w:gridCol w:w="1500"/>
      </w:tblGrid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Лекции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ПЗ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СРС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Раздел 1. Теоретические основы проектного управления и инициация проектов (темы 1.1–1.3)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Раздел 2. Планирование и управление содержанием проекта (темы 2.1–2.3)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Раздел 3. Командная работа, исполнение, контроль и завершение проекта (темы 3.1–3.3)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34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21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E70F47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70F47"/>
                <w:sz w:val="20"/>
                <w:szCs w:val="20"/>
              </w:rPr>
              <w:t xml:space="preserve">⚠ Найденное несоответствие в самой РПД — стоит уточнить у методистов</w:t>
            </w:r>
          </w:p>
          <w:p>
            <w:pPr>
              <w:spacing w:after="0" w:line="290"/>
            </w:pPr>
            <w:r>
              <w:rPr>
                <w:color w:val="1E293B"/>
                <w:sz w:val="19"/>
                <w:szCs w:val="19"/>
              </w:rPr>
              <w:t xml:space="preserve">Табл. 3 распределяет часы ПЗ по разделам как 10 / 12 / 12. Но Табл. 5 (перечень практических работ, см. раздел 5 ниже) привязывает работы к разделам иначе: работы №1–3 → Раздел 1 (итого 15 ч), работы №4–6 → Раздел 2 (15 ч), работа №7 → Раздел 3 (4 ч). Суммарно 34 ч сходится в обоих случаях, но раскладка по разделам — разная. Для отчётности и УМК ориентируйтесь на Табл. 5 (она привязана к конкретным работам), а не на агрегат Табл. 3.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4. Содержание лекционного цикла (Табл. 4 РПД) + источник в учебнике Редько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00"/>
        <w:gridCol w:w="22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Раздел / темы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Гл. учебника Редько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1.1 Сущность и жизненный цикл проекта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Проект, программа, портфель; отличие от операционной деятельности; фазы ЖЦ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Гл. 1, Гл. 8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1.2 Инициация. Устав проекта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Цели по SMART, постановка задач, структура Устава (паспорта) проекта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Гл. 5 «Образ продукта», Гл. 7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1.3 Стейкхолдеры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Классификация, матрица влияния/интересов заинтересованных сторон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Гл. 7.1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2.1 Содержание проекта, WBS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Структурная декомпозиция работ: уровни, пакеты работ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Гл. 9 «Планирование»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2.2 Календарный план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Взаимосвязи работ, метод критического пути (CPM), диаграмма Ганта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Гл. 9.3–9.5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2.3 Ресурсы, бюджет, риски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Оценка и минимизация рисков, реестр рисков, бюджетное планирование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Гл. 10 «Бюджет», Гл. 11 «Риски»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3.1 Команда, роли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Групповая динамика (модель Такмена), роли по Белбину, лидерство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Гл. 2 (роли, RACI) — Такмен в учебнике отсутствует*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3.2 Коммуникации, контроль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Планирование коммуникаций, мониторинг, план-факт, управление изменениями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Гл. 3 «Коммуникации», Гл. 13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3.3 Завершение проекта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Подведение итогов, архивация, рефлексивный анализ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Гл. 14 «Сдача-приёмка»</w:t>
            </w:r>
          </w:p>
        </w:tc>
      </w:tr>
    </w:tbl>
    <w:p>
      <w:pPr>
        <w:spacing w:after="120" w:line="300"/>
      </w:pPr>
      <w:r>
        <w:rPr>
          <w:b w:val="false"/>
          <w:bCs w:val="false"/>
          <w:i/>
          <w:iCs/>
          <w:color w:val="E70F47"/>
          <w:sz w:val="19"/>
          <w:szCs w:val="19"/>
        </w:rPr>
        <w:t xml:space="preserve">* Модель Такмена (форминг–шторминг–норминг–перформинг) в учебнике Редько не описана — потребуется отдельный слайд/раздаточный материал; в презентации курса она уже частично закрыта Белбином, но не Такменом.</w:t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5. Семь практических работ (Табл. 5 РПД, 34 ч)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2500"/>
        <w:gridCol w:w="1000"/>
        <w:gridCol w:w="1720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Тема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Форма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Часы</w:t>
            </w:r>
          </w:p>
        </w:tc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Раздел / глава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Инициация проекта и SMART-цели для технологического стартапа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Анализ кейсов, групповое обсуждение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Разд. 1 / Гл. 1, 4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Паспорт (Устав) социально-ориентированного проекта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Малые группы, мозговой штурм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Разд. 1 / Гл. 5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Матрица стейкхолдеров в сфере наноиндустрии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Практическая работа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Разд. 1 / Гл. 7.1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WBS для научно-исследовательского проекта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Практическая работа, разбор ошибок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Разд. 2 / Гл. 9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Календарный план и диаграмма Ганта (MS Project / GanttPRO)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Компьютерная симуляция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Разд. 2 / Гл. 9.3–9.5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Реестр рисков и матрица минимизации угроз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Метод сценариев, кейс-метод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Разд. 2 / Гл. 11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Роли в проектной группе и решение конфликтов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Ролевая игра, тренинг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Разд. 3 / Гл. 2</w:t>
            </w:r>
          </w:p>
        </w:tc>
      </w:tr>
      <w:tr>
        <w:tc>
          <w:tcPr>
            <w:tcW w:type="dxa" w:w="6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34</w:t>
            </w:r>
          </w:p>
        </w:tc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20" w:line="300"/>
      </w:pPr>
      <w:r>
        <w:rPr>
          <w:b w:val="false"/>
          <w:bCs w:val="false"/>
          <w:i/>
          <w:iCs/>
          <w:color w:val="1E293B"/>
          <w:sz w:val="19"/>
          <w:szCs w:val="19"/>
        </w:rPr>
        <w:t xml:space="preserve">ПО в РПД: официально «не предусмотрено» (п. 8.1) — MS Project / GanttPRO в практике №5 упомянуты в теме, но не закреплены как обязательное ПО. Стоит уточнить доступность класса №33-08 (19 ПЭВМ) для практики №5.</w:t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6. Допуск к зачёту и критерии оценки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Допуск к зачёту: сдано не менее 75% практических работ (то есть минимум 6 из 7).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Зачёт проходит в форме устного опроса или тестирования; итоговая оценка — «зачтено» / «не зачтено».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В течение семестра действует 100-балльная модульно-рейтинговая система ГУАП; на зачёте — 5-балльная шкала: «отлично/хорошо/удовлетворительно» → «зачтено», «неудовлетворительно» → «не зачтено».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Курс подчёркивает: итоговая оценка строится на защите семестрового командного проекта (3–4 человека), а не на формальной курсовой работе — это ключевое отличие от классической схемы «зачёт по билетам».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7. Готовые шаблоны из учебника Редько (для практик 2, 3, 6, 7)</w:t>
      </w:r>
    </w:p>
    <w:p>
      <w:pPr>
        <w:pStyle w:val="Heading2"/>
        <w:spacing w:after="120" w:before="240"/>
      </w:pPr>
      <w:r>
        <w:rPr>
          <w:b/>
          <w:bCs/>
          <w:color w:val="005AAA"/>
          <w:sz w:val="23"/>
          <w:szCs w:val="23"/>
        </w:rPr>
        <w:t xml:space="preserve">7.1. Образ продукта / паспорт проекта (Гл. 5) — для практики №2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Вместо произвольного «Устава» учебник предлагает закрытый список из 6 вопросов — удобно превратить в анкету для команд: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Что является продуктом проекта — что должно получиться в итоге?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Кто будет использовать / получать продукт — какая целевая аудитория?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Зачем разрабатывать продукт — какую потребность он закрывает?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Какие ключевые характеристики сделают продукт успешным?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Есть ли аналоги на рынке / в организации — чем продукт отличается?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Какие сроки и бюджет нужны для реализации?</w:t>
      </w:r>
    </w:p>
    <w:p>
      <w:pPr>
        <w:spacing w:after="120" w:line="300"/>
      </w:pPr>
      <w:r>
        <w:rPr>
          <w:b w:val="false"/>
          <w:bCs w:val="false"/>
          <w:i/>
          <w:iCs/>
          <w:color w:val="1E293B"/>
          <w:sz w:val="19"/>
          <w:szCs w:val="19"/>
        </w:rPr>
        <w:t xml:space="preserve">Главное правило по учебнику: образ продукта обязательно фиксируется письменно на самом старте — если команда не может договориться о нём «на берегу», проект обречён.</w:t>
      </w:r>
    </w:p>
    <w:p>
      <w:pPr>
        <w:pStyle w:val="Heading2"/>
        <w:spacing w:after="120" w:before="240"/>
      </w:pPr>
      <w:r>
        <w:rPr>
          <w:b/>
          <w:bCs/>
          <w:color w:val="005AAA"/>
          <w:sz w:val="23"/>
          <w:szCs w:val="23"/>
        </w:rPr>
        <w:t xml:space="preserve">7.2. Матрица RACI (Гл. 2.3) — для практики №7 (роли и ответственность)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Обозн.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Смысл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Исполнитель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 (Responsible)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Непосредственно выполняет задачу, отвечает за качество и сроки. У задачи может быть несколько исполнителей.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Ответственный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 (Accountable)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Отвечает за итог перед руководством, принимает решение по способу реализации. Только один человек на задачу.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Консультант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 (Consulted)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Даёт консультации, согласует решения; двустороннее взаимодействие.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Наблюдатель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 (Informed)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Информируется о принятых решениях; одностороннее взаимодействие.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/>
          <w:iCs/>
          <w:color w:val="1E293B"/>
          <w:sz w:val="19"/>
          <w:szCs w:val="19"/>
        </w:rPr>
        <w:t xml:space="preserve">Практическая форма: по вертикали — этапы/работы проекта, по горизонтали — роли участников; на пересечении проставляется R/A/C/I.</w:t>
      </w:r>
    </w:p>
    <w:p>
      <w:pPr>
        <w:pStyle w:val="Heading2"/>
        <w:spacing w:after="120" w:before="240"/>
      </w:pPr>
      <w:r>
        <w:rPr>
          <w:b/>
          <w:bCs/>
          <w:color w:val="005AAA"/>
          <w:sz w:val="23"/>
          <w:szCs w:val="23"/>
        </w:rPr>
        <w:t xml:space="preserve">7.3. Реестр и оценка рисков (Гл. 11) — для практики №6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Шаг 1 — фиксация цепочки «причина риска → риск → последствие» (частая ошибка команд — путать причину с последствием).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Шаг 2 — таблица анализа рисков по трём типовым категориям: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2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Риск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Вероятность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Влияние на результат</w:t>
            </w:r>
          </w:p>
        </w:tc>
        <w:tc>
          <w:tcPr>
            <w:tcW w:type="dxa" w:w="2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Уровень риска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Технологические риски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…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…</w:t>
            </w:r>
          </w:p>
        </w:tc>
        <w:tc>
          <w:tcPr>
            <w:tcW w:type="dxa" w:w="2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…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Финансовые риски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…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…</w:t>
            </w:r>
          </w:p>
        </w:tc>
        <w:tc>
          <w:tcPr>
            <w:tcW w:type="dxa" w:w="2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…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Организационно-управленческие риски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…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…</w:t>
            </w:r>
          </w:p>
        </w:tc>
        <w:tc>
          <w:tcPr>
            <w:tcW w:type="dxa" w:w="2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…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8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Шаг 3 — качественная оценка уровня риска (матрица 5×5, вероятность × влияние):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400"/>
        <w:gridCol w:w="1400"/>
        <w:gridCol w:w="1400"/>
        <w:gridCol w:w="1520"/>
      </w:tblGrid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Вероятность \ Влияние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Незнач.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Низкое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Значит.</w:t>
            </w:r>
          </w:p>
        </w:tc>
        <w:tc>
          <w:tcPr>
            <w:tcW w:type="dxa" w:w="1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Критич.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Очень высокая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Оч. высокий</w:t>
            </w:r>
          </w:p>
        </w:tc>
        <w:tc>
          <w:tcPr>
            <w:tcW w:type="dxa" w:w="1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Оч. высокий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Оч. высокий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Незначительная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Средний</w:t>
            </w:r>
          </w:p>
        </w:tc>
      </w:tr>
    </w:tbl>
    <w:p>
      <w:pPr>
        <w:spacing w:after="120" w:line="300"/>
      </w:pPr>
      <w:r>
        <w:rPr>
          <w:b w:val="false"/>
          <w:bCs w:val="false"/>
          <w:i/>
          <w:iCs/>
          <w:color w:val="1E293B"/>
          <w:sz w:val="19"/>
          <w:szCs w:val="19"/>
        </w:rPr>
        <w:t xml:space="preserve">Для визуализации причин рисков учебник рекомендует диаграмму Исикавы («рыбья кость») — можно дать как альтернативный инструмент для сильных команд.</w:t>
      </w:r>
    </w:p>
    <w:p>
      <w:pPr>
        <w:pStyle w:val="Heading2"/>
        <w:spacing w:after="120" w:before="240"/>
      </w:pPr>
      <w:r>
        <w:rPr>
          <w:b/>
          <w:bCs/>
          <w:color w:val="005AAA"/>
          <w:sz w:val="23"/>
          <w:szCs w:val="23"/>
        </w:rPr>
        <w:t xml:space="preserve">7.4. Роли по Белбину (Гл. 2.2) — для практики №7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9 ролей, распределённых по трём группам функций. Обычно у человека выражены 1–3 роли: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Председатель (координатор) — направляет команду к общей цели, использует сильные стороны участников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Мотиватор (шейпер) — держит темп и фокус команды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Генератор идей — предлагает нестандартные решения ключевых проблем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Критик-аналитик — взвешенно оценивает идеи и варианты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Исполнитель (реализатор) — превращает план в конкретные действия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Вдохновитель (командный игрок) — поддерживает моральный дух и отношения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Добытчик ресурсов — ищет внешние контакты, идеи, ресурсы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Контролёр (завершитель) — следит за качеством и доведением дел до конца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Специалист — обеспечивает глубокую экспертизу в узкой области</w:t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8. Статус материалов курса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2120"/>
      </w:tblGrid>
      <w:tr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Вводная лекция (10 слайдов, .pptx)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Готово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Соответствует РПД: 3 раздела, 7 практик, зачёт, «курсовая не предусмотрена» — данные сверены</w:t>
            </w:r>
          </w:p>
        </w:tc>
      </w:tr>
      <w:tr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Слайды к лекциям по разделам 2 и 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⏳ Не начато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Материал для лекций уже есть в РПД (Табл. 4) и Гл. 9–14 учебника</w:t>
            </w:r>
          </w:p>
        </w:tc>
      </w:tr>
      <w:tr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Методички к практикам №1–7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⏳ Не начато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Шаблоны из раздела 7 этого документа — основа для раздаточных материалов</w:t>
            </w:r>
          </w:p>
        </w:tc>
      </w:tr>
      <w:tr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Критерии оценки командного проекта / чек-лист питч-защиты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⏳ Не начато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Нужно свести с 5-балльной шкалой РПД (раздел 6 этого документа)</w:t>
            </w:r>
          </w:p>
        </w:tc>
      </w:tr>
      <w:tr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Банк вопросов к зачёту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📄 Есть в РПД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100 вопросов в Табл. 16–18 РПД, сгруппированы по индикаторам УК/ПК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9. Литература (Табл. 8 РПД)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Акопян Б. К. Основы проектной деятельности: учеб. пособие. — СПб.: ГУАП, 2024. — 68 с. (базовый учебник курса)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Редько С. Г. и др. Основы проектной деятельности: учеб. пособие. — СПб.: СПбПУ, 2018. — 85 с. (источник практических шаблонов — раздел 7 этого документа)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Хамидулин В. С. Основы проектной деятельности: расширенный курс. — СПб.: Лань, 2024. — 240 с.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+ 5 изданий других вузов (Волгоградский ГАУ, СГУ, ТГУ, ЗабГУ, КНИТУ) — доступны в ЭБС «Лань», см. полный список в Табл. 8 РПД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color w:val="1E293B"/>
          <w:sz w:val="20"/>
          <w:szCs w:val="20"/>
        </w:rPr>
        <w:t xml:space="preserve">pro.guap.ru — ЭИОС ГУАП; fizikaguap.ru — ресурс кафедры физики; lms.guap.ru — СДО ГУАП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005AAA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5AAA"/>
                <w:sz w:val="20"/>
                <w:szCs w:val="20"/>
              </w:rPr>
              <w:t xml:space="preserve">Дальше по плану</w:t>
            </w:r>
          </w:p>
          <w:p>
            <w:pPr>
              <w:spacing w:after="0" w:line="290"/>
            </w:pPr>
            <w:r>
              <w:rPr>
                <w:color w:val="1E293B"/>
                <w:sz w:val="19"/>
                <w:szCs w:val="19"/>
              </w:rPr>
              <w:t xml:space="preserve">Логичный следующий шаг — либо (а) методичка и раздаточные материалы к практикам №1–2 (они открывают семестр и нужны раньше всего), либо (б) слайды к лекции раздела 2 в актуальном ГУАП-брендбуке. Также стоит решить вопрос с моделью Такмена — она есть в РПД, но отсутствует в учебнике Редько.</w:t>
            </w:r>
          </w:p>
        </w:tc>
      </w:tr>
    </w:tbl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2026-09-09T23:05:14.316Z</dcterms:created>
  <dcterms:modified xsi:type="dcterms:W3CDTF">2026-09-09T23:05:14.316Z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