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005AAA"/>
          <w:sz w:val="18"/>
          <w:szCs w:val="18"/>
        </w:rPr>
        <w:t xml:space="preserve">ГУАП · Институт ФПТИ · Кафедра № 3 (Физика)</w:t>
      </w:r>
    </w:p>
    <w:p>
      <w:pPr>
        <w:spacing w:after="200"/>
      </w:pPr>
      <w:r>
        <w:rPr>
          <w:i/>
          <w:iCs/>
          <w:color w:val="1E293B"/>
          <w:sz w:val="18"/>
          <w:szCs w:val="18"/>
        </w:rPr>
        <w:t xml:space="preserve">Стратегический документ преподавателя · внутреннее использование</w:t>
      </w:r>
    </w:p>
    <w:p>
      <w:pPr>
        <w:pStyle w:val="Title"/>
        <w:spacing w:after="80"/>
      </w:pPr>
      <w:r>
        <w:rPr>
          <w:b/>
          <w:bCs/>
          <w:color w:val="005AAA"/>
          <w:sz w:val="30"/>
          <w:szCs w:val="30"/>
        </w:rPr>
        <w:t xml:space="preserve">Критический аудит курса: мировые практики vs текущий дизайн</w:t>
      </w:r>
    </w:p>
    <w:p>
      <w:pPr>
        <w:spacing w:after="260"/>
      </w:pPr>
      <w:r>
        <w:rPr>
          <w:color w:val="1E293B"/>
          <w:sz w:val="20"/>
          <w:szCs w:val="20"/>
        </w:rPr>
        <w:t xml:space="preserve">«Основы проектной деятельности» (1–2 курс) · Попов Д. А.</w:t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0"/>
      </w:tblGrid>
      <w:tr>
        <w:tc>
          <w:tcPr>
            <w:tcW w:type="dxa" w:w="9020"/>
            <w:tcBorders>
              <w:top w:val="single" w:color="CBD5E1" w:sz="4"/>
              <w:left w:val="single" w:color="005AAA" w:sz="2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005AAA"/>
                <w:sz w:val="19"/>
                <w:szCs w:val="19"/>
              </w:rPr>
              <w:t xml:space="preserve">Формат и границы документа</w:t>
            </w:r>
          </w:p>
          <w:p>
            <w:pPr>
              <w:spacing w:after="0" w:line="285"/>
            </w:pPr>
            <w:r>
              <w:rPr>
                <w:color w:val="1E293B"/>
                <w:sz w:val="18"/>
                <w:szCs w:val="18"/>
              </w:rPr>
              <w:t xml:space="preserve">Глубокий разбор по первоисточникам (РПД + учебник Редько, стр.-в-строку) выполнен для «ОПД в профессии» (1 курс). Для «ОПД» (2 курс, гранты РНФ/УМНИК, R&amp;D) ниже применена та же архитектурная оптика — обе дисциплины делят одну педагогическую конструкцию (команда 3–4 чел., защита без курсовой, набор инструментов из того же учебника) — но построчного разбора собственной РПД 2 курса пока не делалось. Рекомендуется отдельный проход по ОПД по той же методике.</w:t>
            </w:r>
          </w:p>
        </w:tc>
      </w:tr>
    </w:tbl>
    <w:p>
      <w:pPr>
        <w:spacing w:after="120" w:line="300"/>
      </w:pPr>
      <w:r>
        <w:rPr>
          <w:b w:val="false"/>
          <w:bCs w:val="false"/>
          <w:i w:val="false"/>
          <w:iCs w:val="false"/>
          <w:color w:val="1E293B"/>
          <w:sz w:val="19"/>
          <w:szCs w:val="19"/>
        </w:rPr>
        <w:t xml:space="preserve"/>
      </w:r>
    </w:p>
    <w:p>
      <w:pPr>
        <w:pStyle w:val="Heading1"/>
        <w:pBdr>
          <w:bottom w:val="single" w:color="005AAA" w:sz="6" w:space="4"/>
        </w:pBdr>
        <w:spacing w:after="160" w:before="320"/>
      </w:pPr>
      <w:r>
        <w:rPr>
          <w:b/>
          <w:bCs/>
          <w:color w:val="005AAA"/>
          <w:sz w:val="27"/>
          <w:szCs w:val="27"/>
        </w:rPr>
        <w:t xml:space="preserve">1. Диагноз одной фразой</w:t>
      </w:r>
    </w:p>
    <w:p>
      <w:pPr>
        <w:spacing w:after="120" w:line="300"/>
      </w:pPr>
      <w:r>
        <w:rPr>
          <w:b w:val="false"/>
          <w:bCs w:val="false"/>
          <w:i w:val="false"/>
          <w:iCs w:val="false"/>
          <w:color w:val="1E293B"/>
          <w:sz w:val="19"/>
          <w:szCs w:val="19"/>
        </w:rPr>
        <w:t xml:space="preserve">Курс методологически учит waterfall-PM образца PMBOK 5-го издания (2013 г. — именно на него ссылается учебник Редько). За это время сам PMI дважды пересобрал стандарт: 7-е издание (2021) отказалось от процессов в пользу 12 принципов, 8-е издание (ноябрь 2025) — гибрид из 6 принципов, 7 доменов и 5 Focus Areas с 40 процессами. Индустрия продуктовой и стартап-разработки тем временем выстроена вокруг итеративных циклов «гипотеза → проверка → пивот», а не вокруг линейной последовательности документов. Курс даёт студентам статичный набор артефактов (паспорт, WBS, Гант, реестр рисков), но ни разу не учит их пересматривать эти артефакты по итогам столкновения с реальностью.</w:t>
      </w:r>
    </w:p>
    <w:p>
      <w:pPr>
        <w:pStyle w:val="Heading1"/>
        <w:pBdr>
          <w:bottom w:val="single" w:color="005AAA" w:sz="6" w:space="4"/>
        </w:pBdr>
        <w:spacing w:after="160" w:before="320"/>
      </w:pPr>
      <w:r>
        <w:rPr>
          <w:b/>
          <w:bCs/>
          <w:color w:val="005AAA"/>
          <w:sz w:val="27"/>
          <w:szCs w:val="27"/>
        </w:rPr>
        <w:t xml:space="preserve">2. Сравнение с мировой практикой</w:t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450"/>
        <w:gridCol w:w="3570"/>
      </w:tblGrid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05AA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Параметр</w:t>
            </w:r>
          </w:p>
        </w:tc>
        <w:tc>
          <w:tcPr>
            <w:tcW w:type="dxa" w:w="34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05AA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Текущий курс</w:t>
            </w:r>
          </w:p>
        </w:tc>
        <w:tc>
          <w:tcPr>
            <w:tcW w:type="dxa" w:w="357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05AA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Мировая практика 2025–2026</w:t>
            </w:r>
          </w:p>
        </w:tc>
      </w:tr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70"/>
            </w:pPr>
            <w:r>
              <w:rPr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Логика процесса</w:t>
            </w:r>
          </w:p>
        </w:tc>
        <w:tc>
          <w:tcPr>
            <w:tcW w:type="dxa" w:w="34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70"/>
            </w:pPr>
            <w:r>
              <w:rPr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Линейная: идея → устав → команда → план → бюджет → риски → исполнение → закрытие (14 глав подряд)</w:t>
            </w:r>
          </w:p>
        </w:tc>
        <w:tc>
          <w:tcPr>
            <w:tcW w:type="dxa" w:w="357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70"/>
            </w:pPr>
            <w:r>
              <w:rPr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Циклическая: build-measure-learn, петли и пивоты как норма, а не исключение</w:t>
            </w:r>
          </w:p>
        </w:tc>
      </w:tr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70"/>
            </w:pPr>
            <w:r>
              <w:rPr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Стандарт PM</w:t>
            </w:r>
          </w:p>
        </w:tc>
        <w:tc>
          <w:tcPr>
            <w:tcW w:type="dxa" w:w="34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70"/>
            </w:pPr>
            <w:r>
              <w:rPr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PMBOK 5-е изд. (2013), 5 процессных групп</w:t>
            </w:r>
          </w:p>
        </w:tc>
        <w:tc>
          <w:tcPr>
            <w:tcW w:type="dxa" w:w="357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70"/>
            </w:pPr>
            <w:r>
              <w:rPr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PMBOK 8-е изд. (ноя 2025): 6 принципов + 7 доменов + 5 Focus Areas — уже третье поколение после того, что цитирует учебник</w:t>
            </w:r>
          </w:p>
        </w:tc>
      </w:tr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70"/>
            </w:pPr>
            <w:r>
              <w:rPr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Agile / Scrum</w:t>
            </w:r>
          </w:p>
        </w:tc>
        <w:tc>
          <w:tcPr>
            <w:tcW w:type="dxa" w:w="34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70"/>
            </w:pPr>
            <w:r>
              <w:rPr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Упомянуты одним абзацем-классификацией (гл. 12), не практикуются ни разу за 34 ч практики</w:t>
            </w:r>
          </w:p>
        </w:tc>
        <w:tc>
          <w:tcPr>
            <w:tcW w:type="dxa" w:w="357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70"/>
            </w:pPr>
            <w:r>
              <w:rPr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Обязательный практический блок почти в любом современном курсе PM</w:t>
            </w:r>
          </w:p>
        </w:tc>
      </w:tr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70"/>
            </w:pPr>
            <w:r>
              <w:rPr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Проверка гипотезы</w:t>
            </w:r>
          </w:p>
        </w:tc>
        <w:tc>
          <w:tcPr>
            <w:tcW w:type="dxa" w:w="34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70"/>
            </w:pPr>
            <w:r>
              <w:rPr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Эмпатия — один абзац (гл. 5), реальных интервью с пользователями нет</w:t>
            </w:r>
          </w:p>
        </w:tc>
        <w:tc>
          <w:tcPr>
            <w:tcW w:type="dxa" w:w="357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70"/>
            </w:pPr>
            <w:r>
              <w:rPr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Customer Discovery как ядро курса (Lean LaunchPad, Business Model Canvas) — команды меняют модель по итогам разговоров с реальными людьми</w:t>
            </w:r>
          </w:p>
        </w:tc>
      </w:tr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70"/>
            </w:pPr>
            <w:r>
              <w:rPr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Контрольные точки</w:t>
            </w:r>
          </w:p>
        </w:tc>
        <w:tc>
          <w:tcPr>
            <w:tcW w:type="dxa" w:w="34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70"/>
            </w:pPr>
            <w:r>
              <w:rPr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Одна финальная питч-защита в конце семестра</w:t>
            </w:r>
          </w:p>
        </w:tc>
        <w:tc>
          <w:tcPr>
            <w:tcW w:type="dxa" w:w="357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70"/>
            </w:pPr>
            <w:r>
              <w:rPr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Серия чекпоинтов: у MIT 2.009 — 6 промежуточных design review вместо одной защиты</w:t>
            </w:r>
          </w:p>
        </w:tc>
      </w:tr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70"/>
            </w:pPr>
            <w:r>
              <w:rPr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Итеративность</w:t>
            </w:r>
          </w:p>
        </w:tc>
        <w:tc>
          <w:tcPr>
            <w:tcW w:type="dxa" w:w="34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70"/>
            </w:pPr>
            <w:r>
              <w:rPr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Не заложена в дизайне практик</w:t>
            </w:r>
          </w:p>
        </w:tc>
        <w:tc>
          <w:tcPr>
            <w:tcW w:type="dxa" w:w="357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70"/>
            </w:pPr>
            <w:r>
              <w:rPr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Даже в инженерном (не софтверном) курсе команды осознанно входят в быстрый цикл «идея → прототип → провал → исправление»</w:t>
            </w:r>
          </w:p>
        </w:tc>
      </w:tr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70"/>
            </w:pPr>
            <w:r>
              <w:rPr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Индивидуальная ответственность</w:t>
            </w:r>
          </w:p>
        </w:tc>
        <w:tc>
          <w:tcPr>
            <w:tcW w:type="dxa" w:w="34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70"/>
            </w:pPr>
            <w:r>
              <w:rPr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Не предусмотрена — оценка только по защите проекта команды</w:t>
            </w:r>
          </w:p>
        </w:tc>
        <w:tc>
          <w:tcPr>
            <w:tcW w:type="dxa" w:w="357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70"/>
            </w:pPr>
            <w:r>
              <w:rPr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Peer-evaluation почти повсеместна в командных курсах — иначе риск «безбилетника»</w:t>
            </w:r>
          </w:p>
        </w:tc>
      </w:tr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70"/>
            </w:pPr>
            <w:r>
              <w:rPr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Инженерная рамка курса</w:t>
            </w:r>
          </w:p>
        </w:tc>
        <w:tc>
          <w:tcPr>
            <w:tcW w:type="dxa" w:w="34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70"/>
            </w:pPr>
            <w:r>
              <w:rPr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Отсутствует единая методология верхнего уровня</w:t>
            </w:r>
          </w:p>
        </w:tc>
        <w:tc>
          <w:tcPr>
            <w:tcW w:type="dxa" w:w="357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70"/>
            </w:pPr>
            <w:r>
              <w:rPr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CDIO (Conceive–Design–Implement–Operate) — принят как рамка учебных планов в вузах по всему миру, включая ТПУ и Сколтех в России</w:t>
            </w:r>
          </w:p>
        </w:tc>
      </w:tr>
    </w:tbl>
    <w:p>
      <w:pPr>
        <w:spacing w:after="120" w:line="300"/>
      </w:pPr>
      <w:r>
        <w:rPr>
          <w:b w:val="false"/>
          <w:bCs w:val="false"/>
          <w:i w:val="false"/>
          <w:iCs w:val="false"/>
          <w:color w:val="1E293B"/>
          <w:sz w:val="19"/>
          <w:szCs w:val="19"/>
        </w:rPr>
        <w:t xml:space="preserve"/>
      </w:r>
    </w:p>
    <w:p>
      <w:pPr>
        <w:pStyle w:val="Heading1"/>
        <w:pBdr>
          <w:bottom w:val="single" w:color="005AAA" w:sz="6" w:space="4"/>
        </w:pBdr>
        <w:spacing w:after="160" w:before="320"/>
      </w:pPr>
      <w:r>
        <w:rPr>
          <w:b/>
          <w:bCs/>
          <w:color w:val="005AAA"/>
          <w:sz w:val="27"/>
          <w:szCs w:val="27"/>
        </w:rPr>
        <w:t xml:space="preserve">3. Что уже сильно — не трогать</w:t>
      </w:r>
    </w:p>
    <w:p>
      <w:pPr>
        <w:spacing w:after="80" w:line="285"/>
        <w:ind w:left="340"/>
      </w:pPr>
      <w:r>
        <w:rPr>
          <w:b/>
          <w:bCs/>
          <w:color w:val="005AAA"/>
          <w:sz w:val="19"/>
          <w:szCs w:val="19"/>
        </w:rPr>
        <w:t xml:space="preserve">— </w:t>
      </w:r>
      <w:r>
        <w:rPr>
          <w:b w:val="false"/>
          <w:bCs w:val="false"/>
          <w:color w:val="1E293B"/>
          <w:sz w:val="19"/>
          <w:szCs w:val="19"/>
        </w:rPr>
        <w:t xml:space="preserve">Оценка только через защиту командного проекта, без курсовой и без «зачёта по билетам» — редкое для российского вуза решение, которое многие западные курсы вводят намеренно</w:t>
      </w:r>
    </w:p>
    <w:p>
      <w:pPr>
        <w:spacing w:after="80" w:line="285"/>
        <w:ind w:left="340"/>
      </w:pPr>
      <w:r>
        <w:rPr>
          <w:b/>
          <w:bCs/>
          <w:color w:val="005AAA"/>
          <w:sz w:val="19"/>
          <w:szCs w:val="19"/>
        </w:rPr>
        <w:t xml:space="preserve">— </w:t>
      </w:r>
      <w:r>
        <w:rPr>
          <w:b w:val="false"/>
          <w:bCs w:val="false"/>
          <w:color w:val="1E293B"/>
          <w:sz w:val="19"/>
          <w:szCs w:val="19"/>
        </w:rPr>
        <w:t xml:space="preserve">Домен-специфичность кейсов (наноиндустрия, прикладная физика) даёт подлинность, которой не хватает типовым генерик-курсам PM</w:t>
      </w:r>
    </w:p>
    <w:p>
      <w:pPr>
        <w:spacing w:after="80" w:line="285"/>
        <w:ind w:left="340"/>
      </w:pPr>
      <w:r>
        <w:rPr>
          <w:b/>
          <w:bCs/>
          <w:color w:val="005AAA"/>
          <w:sz w:val="19"/>
          <w:szCs w:val="19"/>
        </w:rPr>
        <w:t xml:space="preserve">— </w:t>
      </w:r>
      <w:r>
        <w:rPr>
          <w:b w:val="false"/>
          <w:bCs w:val="false"/>
          <w:color w:val="1E293B"/>
          <w:sz w:val="19"/>
          <w:szCs w:val="19"/>
        </w:rPr>
        <w:t xml:space="preserve">Сама последовательность 7 практик методически выстроена грамотно — устарел именно набор инструментов внутри неё, а не архитектура</w:t>
      </w:r>
    </w:p>
    <w:p>
      <w:pPr>
        <w:spacing w:after="80" w:line="285"/>
        <w:ind w:left="340"/>
      </w:pPr>
      <w:r>
        <w:rPr>
          <w:b/>
          <w:bCs/>
          <w:color w:val="005AAA"/>
          <w:sz w:val="19"/>
          <w:szCs w:val="19"/>
        </w:rPr>
        <w:t xml:space="preserve">— </w:t>
      </w:r>
      <w:r>
        <w:rPr>
          <w:b w:val="false"/>
          <w:bCs w:val="false"/>
          <w:color w:val="1E293B"/>
          <w:sz w:val="19"/>
          <w:szCs w:val="19"/>
        </w:rPr>
        <w:t xml:space="preserve">Явная привязка практик к конкретным индикаторам компетенций (например, практика №2 → УК-2.Д.2) — редко где сделано настолько прозрачно</w:t>
      </w:r>
    </w:p>
    <w:p>
      <w:pPr>
        <w:spacing w:after="120" w:line="300"/>
      </w:pPr>
      <w:r>
        <w:rPr>
          <w:b w:val="false"/>
          <w:bCs w:val="false"/>
          <w:i w:val="false"/>
          <w:iCs w:val="false"/>
          <w:color w:val="1E293B"/>
          <w:sz w:val="19"/>
          <w:szCs w:val="19"/>
        </w:rPr>
        <w:t xml:space="preserve"/>
      </w:r>
    </w:p>
    <w:p>
      <w:pPr>
        <w:pStyle w:val="Heading1"/>
        <w:pBdr>
          <w:bottom w:val="single" w:color="005AAA" w:sz="6" w:space="4"/>
        </w:pBdr>
        <w:spacing w:after="160" w:before="320"/>
      </w:pPr>
      <w:r>
        <w:rPr>
          <w:b/>
          <w:bCs/>
          <w:color w:val="005AAA"/>
          <w:sz w:val="27"/>
          <w:szCs w:val="27"/>
        </w:rPr>
        <w:t xml:space="preserve">4. Разбор по ключевым разрывам</w:t>
      </w:r>
    </w:p>
    <w:p>
      <w:pPr>
        <w:pStyle w:val="Heading2"/>
        <w:spacing w:after="110" w:before="220"/>
      </w:pPr>
      <w:r>
        <w:rPr>
          <w:b/>
          <w:bCs/>
          <w:color w:val="005AAA"/>
          <w:sz w:val="21"/>
          <w:szCs w:val="21"/>
        </w:rPr>
        <w:t xml:space="preserve">4.1. PM-стандарт на три поколения позади</w:t>
      </w:r>
    </w:p>
    <w:p>
      <w:pPr>
        <w:spacing w:after="120" w:line="300"/>
      </w:pPr>
      <w:r>
        <w:rPr>
          <w:b w:val="false"/>
          <w:bCs w:val="false"/>
          <w:i w:val="false"/>
          <w:iCs w:val="false"/>
          <w:color w:val="1E293B"/>
          <w:sz w:val="19"/>
          <w:szCs w:val="19"/>
        </w:rPr>
        <w:t xml:space="preserve">Учебник Редько (2018) прямо цитирует PMBOK 5-е издание (2013). С тех пор вышли 6-е (2017, ещё процессное), 7-е (2021, отказ от процессов в пользу 12 принципов) и 8-е (ноябрь 2025 — возврат структуры через 5 Focus Areas и 40 процессов, но поверх принципов и доменов, плюс новые темы ИИ и устойчивого развития). Формулировки компетенций РПД (УК-1, УК-2 и др.) не привязаны к конкретному изданию — актуализация возможна без согласования РПД, одной заменой ссылки в лекции.</w:t>
      </w:r>
    </w:p>
    <w:p>
      <w:pPr>
        <w:pStyle w:val="Heading2"/>
        <w:spacing w:after="110" w:before="220"/>
      </w:pPr>
      <w:r>
        <w:rPr>
          <w:b/>
          <w:bCs/>
          <w:color w:val="005AAA"/>
          <w:sz w:val="21"/>
          <w:szCs w:val="21"/>
        </w:rPr>
        <w:t xml:space="preserve">4.2. Agile/Scrum: классификация, а не практика</w:t>
      </w:r>
    </w:p>
    <w:p>
      <w:pPr>
        <w:spacing w:after="120" w:line="300"/>
      </w:pPr>
      <w:r>
        <w:rPr>
          <w:b w:val="false"/>
          <w:bCs w:val="false"/>
          <w:i w:val="false"/>
          <w:iCs w:val="false"/>
          <w:color w:val="1E293B"/>
          <w:sz w:val="19"/>
          <w:szCs w:val="19"/>
        </w:rPr>
        <w:t xml:space="preserve">Учебник упоминает Waterfall, Agile, Scrum, Lean, Kanban единым списком в главе 12 — но ни в одной из 7 практических работ они не отрабатываются руками. Для технологических команд (Вектор А) это заметный пробел: современная разработка ПО и большая часть R&amp;D-инструментов управления задачами построены на Agile-ритуалах (спринты, доски, ретро).</w:t>
      </w:r>
    </w:p>
    <w:p>
      <w:pPr>
        <w:pStyle w:val="Heading2"/>
        <w:spacing w:after="110" w:before="220"/>
      </w:pPr>
      <w:r>
        <w:rPr>
          <w:b/>
          <w:bCs/>
          <w:color w:val="005AAA"/>
          <w:sz w:val="21"/>
          <w:szCs w:val="21"/>
        </w:rPr>
        <w:t xml:space="preserve">4.3. Customer Discovery отсутствует как навык</w:t>
      </w:r>
    </w:p>
    <w:p>
      <w:pPr>
        <w:spacing w:after="120" w:line="300"/>
      </w:pPr>
      <w:r>
        <w:rPr>
          <w:b w:val="false"/>
          <w:bCs w:val="false"/>
          <w:i w:val="false"/>
          <w:iCs w:val="false"/>
          <w:color w:val="1E293B"/>
          <w:sz w:val="19"/>
          <w:szCs w:val="19"/>
        </w:rPr>
        <w:t xml:space="preserve">Эмпатия к пользователю упомянута в учебнике одним абзацем (гл. 5.2) как совет «посмотреть на проект глазами клиента». Реального задания поговорить с живыми людьми и скорректировать образ продукта по итогам разговора — нет ни в РПД, ни в практиках. Это прямо противоречит духу индикатора УК-1.Д.1 («анализ ситуации в реальных социальных условиях»), который в РПД есть, а инструмента для него — нет.</w:t>
      </w:r>
    </w:p>
    <w:p>
      <w:pPr>
        <w:pStyle w:val="Heading2"/>
        <w:spacing w:after="110" w:before="220"/>
      </w:pPr>
      <w:r>
        <w:rPr>
          <w:b/>
          <w:bCs/>
          <w:color w:val="005AAA"/>
          <w:sz w:val="21"/>
          <w:szCs w:val="21"/>
        </w:rPr>
        <w:t xml:space="preserve">4.4. Один чекпоинт вместо серии</w:t>
      </w:r>
    </w:p>
    <w:p>
      <w:pPr>
        <w:spacing w:after="120" w:line="300"/>
      </w:pPr>
      <w:r>
        <w:rPr>
          <w:b w:val="false"/>
          <w:bCs w:val="false"/>
          <w:i w:val="false"/>
          <w:iCs w:val="false"/>
          <w:color w:val="1E293B"/>
          <w:sz w:val="19"/>
          <w:szCs w:val="19"/>
        </w:rPr>
        <w:t xml:space="preserve">Вся семестровая работа команды проверяется один раз — на финальной защите. Это концентрирует весь риск в одной точке и не даёт возможности скорректировать курс на середине пути. У MIT 2.009 таких точек шесть; при 34 ч практики курса ГУАП физически можно выделить хотя бы одну промежуточную сверку без единого дополнительного часа — например, встроив её в практику №5.</w:t>
      </w:r>
    </w:p>
    <w:p>
      <w:pPr>
        <w:pStyle w:val="Heading2"/>
        <w:spacing w:after="110" w:before="220"/>
      </w:pPr>
      <w:r>
        <w:rPr>
          <w:b/>
          <w:bCs/>
          <w:color w:val="005AAA"/>
          <w:sz w:val="21"/>
          <w:szCs w:val="21"/>
        </w:rPr>
        <w:t xml:space="preserve">4.5. Нет индивидуальной ответственности внутри команды</w:t>
      </w:r>
    </w:p>
    <w:p>
      <w:pPr>
        <w:spacing w:after="120" w:line="300"/>
      </w:pPr>
      <w:r>
        <w:rPr>
          <w:b w:val="false"/>
          <w:bCs w:val="false"/>
          <w:i w:val="false"/>
          <w:iCs w:val="false"/>
          <w:color w:val="1E293B"/>
          <w:sz w:val="19"/>
          <w:szCs w:val="19"/>
        </w:rPr>
        <w:t xml:space="preserve">Итоговая оценка — за проект команды целиком. Ни РПД, ни методические указания не предусматривают механизма, различающего вклад участников. Стандартная защита от «безбилетника» в мировой практике — короткая форма взаимной оценки, заполняемая на защите.</w:t>
      </w:r>
    </w:p>
    <w:p>
      <w:pPr>
        <w:pStyle w:val="Heading2"/>
        <w:spacing w:after="110" w:before="220"/>
      </w:pPr>
      <w:r>
        <w:rPr>
          <w:b/>
          <w:bCs/>
          <w:color w:val="005AAA"/>
          <w:sz w:val="21"/>
          <w:szCs w:val="21"/>
        </w:rPr>
        <w:t xml:space="preserve">4.6. CDIO как нереализованная возможность</w:t>
      </w:r>
    </w:p>
    <w:p>
      <w:pPr>
        <w:spacing w:after="120" w:line="300"/>
      </w:pPr>
      <w:r>
        <w:rPr>
          <w:b w:val="false"/>
          <w:bCs w:val="false"/>
          <w:i w:val="false"/>
          <w:iCs w:val="false"/>
          <w:color w:val="1E293B"/>
          <w:sz w:val="19"/>
          <w:szCs w:val="19"/>
        </w:rPr>
        <w:t xml:space="preserve">CDIO — рамка, специально созданная для инженерных программ (MIT совместно с тремя шведскими вузами, с 2000 года), официально переведённая на русский и адаптированная Томским политехом совместно со Сколтехом. Она даёт язык именно для такого курса, как ОПДВП/ОПД: реальные проекты, командная работа, метапредметные навыки — но нигде не упоминается ни в РПД, ни в учебнике.</w:t>
      </w:r>
    </w:p>
    <w:p>
      <w:pPr>
        <w:pStyle w:val="Heading2"/>
        <w:spacing w:after="110" w:before="220"/>
      </w:pPr>
      <w:r>
        <w:rPr>
          <w:b/>
          <w:bCs/>
          <w:color w:val="005AAA"/>
          <w:sz w:val="21"/>
          <w:szCs w:val="21"/>
        </w:rPr>
        <w:t xml:space="preserve">4.7. Модель Такмена — требование РПД без источника</w:t>
      </w:r>
    </w:p>
    <w:p>
      <w:pPr>
        <w:spacing w:after="120" w:line="300"/>
      </w:pPr>
      <w:r>
        <w:rPr>
          <w:b w:val="false"/>
          <w:bCs w:val="false"/>
          <w:i w:val="false"/>
          <w:iCs w:val="false"/>
          <w:color w:val="1E293B"/>
          <w:sz w:val="19"/>
          <w:szCs w:val="19"/>
        </w:rPr>
        <w:t xml:space="preserve">Уже отмечено в предыдущем разборе: тема 3.1 требует «групповую динамику (модель Такмена)», но учебник Редько её не описывает — есть только Белбин. Разрыв между требованием и материалом придётся закрывать отдельно.</w:t>
      </w:r>
    </w:p>
    <w:p>
      <w:r>
        <w:br w:type="page"/>
      </w:r>
    </w:p>
    <w:p>
      <w:pPr>
        <w:pStyle w:val="Heading1"/>
        <w:pBdr>
          <w:bottom w:val="single" w:color="005AAA" w:sz="6" w:space="4"/>
        </w:pBdr>
        <w:spacing w:after="160" w:before="320"/>
      </w:pPr>
      <w:r>
        <w:rPr>
          <w:b/>
          <w:bCs/>
          <w:color w:val="005AAA"/>
          <w:sz w:val="27"/>
          <w:szCs w:val="27"/>
        </w:rPr>
        <w:t xml:space="preserve">5. Что добавить без изменения часов РПД</w:t>
      </w:r>
    </w:p>
    <w:p>
      <w:pPr>
        <w:spacing w:after="120" w:line="300"/>
      </w:pPr>
      <w:r>
        <w:rPr>
          <w:b w:val="false"/>
          <w:bCs w:val="false"/>
          <w:i w:val="false"/>
          <w:iCs w:val="false"/>
          <w:color w:val="1E293B"/>
          <w:sz w:val="19"/>
          <w:szCs w:val="19"/>
        </w:rPr>
        <w:t xml:space="preserve">Все предложения — «начинка» существующих слотов, а не новые часы. РПД остаётся неизменной.</w:t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2900"/>
        <w:gridCol w:w="1000"/>
        <w:gridCol w:w="2420"/>
      </w:tblGrid>
      <w:tr>
        <w:tc>
          <w:tcPr>
            <w:tcW w:type="dxa" w:w="2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05AA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Предложение</w:t>
            </w:r>
          </w:p>
        </w:tc>
        <w:tc>
          <w:tcPr>
            <w:tcW w:type="dxa" w:w="2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05AA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Куда встроить</w:t>
            </w:r>
          </w:p>
        </w:tc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05AA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Доп. часы</w:t>
            </w:r>
          </w:p>
        </w:tc>
        <w:tc>
          <w:tcPr>
            <w:tcW w:type="dxa" w:w="24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05AA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Что даёт</w:t>
            </w:r>
          </w:p>
        </w:tc>
      </w:tr>
      <w:tr>
        <w:tc>
          <w:tcPr>
            <w:tcW w:type="dxa" w:w="2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70"/>
            </w:pPr>
            <w:r>
              <w:rPr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Блок «а что если гипотеза не подтвердится»</w:t>
            </w:r>
          </w:p>
        </w:tc>
        <w:tc>
          <w:tcPr>
            <w:tcW w:type="dxa" w:w="2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70"/>
            </w:pPr>
            <w:r>
              <w:rPr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Практика №6 (риски), 15 мин за счёт сокращения теории</w:t>
            </w:r>
          </w:p>
        </w:tc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70"/>
            </w:pPr>
            <w:r>
              <w:rPr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0</w:t>
            </w:r>
          </w:p>
        </w:tc>
        <w:tc>
          <w:tcPr>
            <w:tcW w:type="dxa" w:w="24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70"/>
            </w:pPr>
            <w:r>
              <w:rPr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Первый шаг к идее пивота</w:t>
            </w:r>
          </w:p>
        </w:tc>
      </w:tr>
      <w:tr>
        <w:tc>
          <w:tcPr>
            <w:tcW w:type="dxa" w:w="2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70"/>
            </w:pPr>
            <w:r>
              <w:rPr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2 интервью с потенциальным пользователем</w:t>
            </w:r>
          </w:p>
        </w:tc>
        <w:tc>
          <w:tcPr>
            <w:tcW w:type="dxa" w:w="2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70"/>
            </w:pPr>
            <w:r>
              <w:rPr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Домашнее задание между практиками №3 и №4, в рамках уже заложенных 21 ч СРС</w:t>
            </w:r>
          </w:p>
        </w:tc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70"/>
            </w:pPr>
            <w:r>
              <w:rPr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0</w:t>
            </w:r>
          </w:p>
        </w:tc>
        <w:tc>
          <w:tcPr>
            <w:tcW w:type="dxa" w:w="24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70"/>
            </w:pPr>
            <w:r>
              <w:rPr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Начало Customer Discovery</w:t>
            </w:r>
          </w:p>
        </w:tc>
      </w:tr>
      <w:tr>
        <w:tc>
          <w:tcPr>
            <w:tcW w:type="dxa" w:w="2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70"/>
            </w:pPr>
            <w:r>
              <w:rPr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Актуальная ссылка на PM-стандарт (PMBOK 8)</w:t>
            </w:r>
          </w:p>
        </w:tc>
        <w:tc>
          <w:tcPr>
            <w:tcW w:type="dxa" w:w="2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70"/>
            </w:pPr>
            <w:r>
              <w:rPr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1 слайд в лекции раздела 1</w:t>
            </w:r>
          </w:p>
        </w:tc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70"/>
            </w:pPr>
            <w:r>
              <w:rPr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0</w:t>
            </w:r>
          </w:p>
        </w:tc>
        <w:tc>
          <w:tcPr>
            <w:tcW w:type="dxa" w:w="24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70"/>
            </w:pPr>
            <w:r>
              <w:rPr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Актуализация без изменения формулировок компетенций</w:t>
            </w:r>
          </w:p>
        </w:tc>
      </w:tr>
      <w:tr>
        <w:tc>
          <w:tcPr>
            <w:tcW w:type="dxa" w:w="2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70"/>
            </w:pPr>
            <w:r>
              <w:rPr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Peer-evaluation команды</w:t>
            </w:r>
          </w:p>
        </w:tc>
        <w:tc>
          <w:tcPr>
            <w:tcW w:type="dxa" w:w="2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70"/>
            </w:pPr>
            <w:r>
              <w:rPr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Регламент финальной защиты, +5 мин</w:t>
            </w:r>
          </w:p>
        </w:tc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70"/>
            </w:pPr>
            <w:r>
              <w:rPr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0</w:t>
            </w:r>
          </w:p>
        </w:tc>
        <w:tc>
          <w:tcPr>
            <w:tcW w:type="dxa" w:w="24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70"/>
            </w:pPr>
            <w:r>
              <w:rPr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Индивидуальная ответственность в команде</w:t>
            </w:r>
          </w:p>
        </w:tc>
      </w:tr>
      <w:tr>
        <w:tc>
          <w:tcPr>
            <w:tcW w:type="dxa" w:w="2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70"/>
            </w:pPr>
            <w:r>
              <w:rPr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Промежуточная сверка (мини design review)</w:t>
            </w:r>
          </w:p>
        </w:tc>
        <w:tc>
          <w:tcPr>
            <w:tcW w:type="dxa" w:w="2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70"/>
            </w:pPr>
            <w:r>
              <w:rPr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Встроить в практику №5</w:t>
            </w:r>
          </w:p>
        </w:tc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70"/>
            </w:pPr>
            <w:r>
              <w:rPr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0</w:t>
            </w:r>
          </w:p>
        </w:tc>
        <w:tc>
          <w:tcPr>
            <w:tcW w:type="dxa" w:w="24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70"/>
            </w:pPr>
            <w:r>
              <w:rPr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Чекпоинт в середине семестра, а не только в конце</w:t>
            </w:r>
          </w:p>
        </w:tc>
      </w:tr>
      <w:tr>
        <w:tc>
          <w:tcPr>
            <w:tcW w:type="dxa" w:w="2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70"/>
            </w:pPr>
            <w:r>
              <w:rPr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Слайд про модель Такмена</w:t>
            </w:r>
          </w:p>
        </w:tc>
        <w:tc>
          <w:tcPr>
            <w:tcW w:type="dxa" w:w="2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70"/>
            </w:pPr>
            <w:r>
              <w:rPr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Лекция раздела 3, тема 3.1</w:t>
            </w:r>
          </w:p>
        </w:tc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70"/>
            </w:pPr>
            <w:r>
              <w:rPr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0</w:t>
            </w:r>
          </w:p>
        </w:tc>
        <w:tc>
          <w:tcPr>
            <w:tcW w:type="dxa" w:w="24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70"/>
            </w:pPr>
            <w:r>
              <w:rPr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Закрывает требование РПД, которого нет в учебнике</w:t>
            </w:r>
          </w:p>
        </w:tc>
      </w:tr>
      <w:tr>
        <w:tc>
          <w:tcPr>
            <w:tcW w:type="dxa" w:w="2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70"/>
            </w:pPr>
            <w:r>
              <w:rPr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Business Model Canvas как опция</w:t>
            </w:r>
          </w:p>
        </w:tc>
        <w:tc>
          <w:tcPr>
            <w:tcW w:type="dxa" w:w="2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70"/>
            </w:pPr>
            <w:r>
              <w:rPr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Практика №2, альтернативный вариант шаблона паспорта для Вектора А</w:t>
            </w:r>
          </w:p>
        </w:tc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70"/>
            </w:pPr>
            <w:r>
              <w:rPr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0</w:t>
            </w:r>
          </w:p>
        </w:tc>
        <w:tc>
          <w:tcPr>
            <w:tcW w:type="dxa" w:w="24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70"/>
            </w:pPr>
            <w:r>
              <w:rPr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Индустриальный стандарт для тех-проектов, не конфликтует с РПД</w:t>
            </w:r>
          </w:p>
        </w:tc>
      </w:tr>
    </w:tbl>
    <w:p>
      <w:pPr>
        <w:spacing w:after="120" w:line="300"/>
      </w:pPr>
      <w:r>
        <w:rPr>
          <w:b w:val="false"/>
          <w:bCs w:val="false"/>
          <w:i w:val="false"/>
          <w:iCs w:val="false"/>
          <w:color w:val="1E293B"/>
          <w:sz w:val="19"/>
          <w:szCs w:val="19"/>
        </w:rPr>
        <w:t xml:space="preserve"/>
      </w:r>
    </w:p>
    <w:p>
      <w:pPr>
        <w:pStyle w:val="Heading1"/>
        <w:pBdr>
          <w:bottom w:val="single" w:color="005AAA" w:sz="6" w:space="4"/>
        </w:pBdr>
        <w:spacing w:after="160" w:before="320"/>
      </w:pPr>
      <w:r>
        <w:rPr>
          <w:b/>
          <w:bCs/>
          <w:color w:val="005AAA"/>
          <w:sz w:val="27"/>
          <w:szCs w:val="27"/>
        </w:rPr>
        <w:t xml:space="preserve">6. Ограничения анализа</w:t>
      </w:r>
    </w:p>
    <w:p>
      <w:pPr>
        <w:spacing w:after="80" w:line="285"/>
        <w:ind w:left="340"/>
      </w:pPr>
      <w:r>
        <w:rPr>
          <w:b/>
          <w:bCs/>
          <w:color w:val="005AAA"/>
          <w:sz w:val="19"/>
          <w:szCs w:val="19"/>
        </w:rPr>
        <w:t xml:space="preserve">— </w:t>
      </w:r>
      <w:r>
        <w:rPr>
          <w:b w:val="false"/>
          <w:bCs w:val="false"/>
          <w:color w:val="1E293B"/>
          <w:sz w:val="19"/>
          <w:szCs w:val="19"/>
        </w:rPr>
        <w:t xml:space="preserve">Глубина разбора: построчный (по РПД + учебнику) — только для 1 курса (ОПДВП). Для 2 курса (ОПД) — архитектурный уровень, без вычитки собственной РПД</w:t>
      </w:r>
    </w:p>
    <w:p>
      <w:pPr>
        <w:spacing w:after="80" w:line="285"/>
        <w:ind w:left="340"/>
      </w:pPr>
      <w:r>
        <w:rPr>
          <w:b/>
          <w:bCs/>
          <w:color w:val="005AAA"/>
          <w:sz w:val="19"/>
          <w:szCs w:val="19"/>
        </w:rPr>
        <w:t xml:space="preserve">— </w:t>
      </w:r>
      <w:r>
        <w:rPr>
          <w:b w:val="false"/>
          <w:bCs w:val="false"/>
          <w:color w:val="1E293B"/>
          <w:sz w:val="19"/>
          <w:szCs w:val="19"/>
        </w:rPr>
        <w:t xml:space="preserve">Сравнение опирается на публично задокументированные курсы (Stanford d.school, MIT 2.009, Lean LaunchPad) — реальная практика внутри этих курсов может отличаться от описаний на сайтах</w:t>
      </w:r>
    </w:p>
    <w:p>
      <w:pPr>
        <w:spacing w:after="80" w:line="285"/>
        <w:ind w:left="340"/>
      </w:pPr>
      <w:r>
        <w:rPr>
          <w:b/>
          <w:bCs/>
          <w:color w:val="005AAA"/>
          <w:sz w:val="19"/>
          <w:szCs w:val="19"/>
        </w:rPr>
        <w:t xml:space="preserve">— </w:t>
      </w:r>
      <w:r>
        <w:rPr>
          <w:b w:val="false"/>
          <w:bCs w:val="false"/>
          <w:color w:val="1E293B"/>
          <w:sz w:val="19"/>
          <w:szCs w:val="19"/>
        </w:rPr>
        <w:t xml:space="preserve">Не учтены ограничения площадки ГУАП (аудитории, ПО, доступность оборудования) — часть предложений может требовать проверки на месте</w:t>
      </w:r>
    </w:p>
    <w:p>
      <w:pPr>
        <w:spacing w:after="120" w:line="300"/>
      </w:pPr>
      <w:r>
        <w:rPr>
          <w:b w:val="false"/>
          <w:bCs w:val="false"/>
          <w:i w:val="false"/>
          <w:iCs w:val="false"/>
          <w:color w:val="1E293B"/>
          <w:sz w:val="19"/>
          <w:szCs w:val="19"/>
        </w:rPr>
        <w:t xml:space="preserve"/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0"/>
      </w:tblGrid>
      <w:tr>
        <w:tc>
          <w:tcPr>
            <w:tcW w:type="dxa" w:w="9020"/>
            <w:tcBorders>
              <w:top w:val="single" w:color="CBD5E1" w:sz="4"/>
              <w:left w:val="single" w:color="16A34A" w:sz="2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16A34A"/>
                <w:sz w:val="19"/>
                <w:szCs w:val="19"/>
              </w:rPr>
              <w:t xml:space="preserve">Логичный следующий шаг</w:t>
            </w:r>
          </w:p>
          <w:p>
            <w:pPr>
              <w:spacing w:after="0" w:line="285"/>
            </w:pPr>
            <w:r>
              <w:rPr>
                <w:color w:val="1E293B"/>
                <w:sz w:val="18"/>
                <w:szCs w:val="18"/>
              </w:rPr>
              <w:t xml:space="preserve">Либо построчный разбор РПД 2 курса той же методикой, что и для ОПДВП, либо сразу практическая обкатка одного предложения из раздела 5 — например, встраивание чекпоинта в практику №5.</w:t>
            </w:r>
          </w:p>
        </w:tc>
      </w:tr>
    </w:tbl>
    <w:p>
      <w:pPr>
        <w:spacing w:after="120" w:line="300"/>
      </w:pPr>
      <w:r>
        <w:rPr>
          <w:b w:val="false"/>
          <w:bCs w:val="false"/>
          <w:i w:val="false"/>
          <w:iCs w:val="false"/>
          <w:color w:val="1E293B"/>
          <w:sz w:val="19"/>
          <w:szCs w:val="19"/>
        </w:rPr>
        <w:t xml:space="preserve"/>
      </w:r>
    </w:p>
    <w:p>
      <w:pPr>
        <w:pStyle w:val="Heading1"/>
        <w:pBdr>
          <w:bottom w:val="single" w:color="005AAA" w:sz="6" w:space="4"/>
        </w:pBdr>
        <w:spacing w:after="160" w:before="320"/>
      </w:pPr>
      <w:r>
        <w:rPr>
          <w:b/>
          <w:bCs/>
          <w:color w:val="005AAA"/>
          <w:sz w:val="27"/>
          <w:szCs w:val="27"/>
        </w:rPr>
        <w:t xml:space="preserve">7. Источники</w:t>
      </w:r>
    </w:p>
    <w:p>
      <w:pPr>
        <w:spacing w:after="80" w:line="285"/>
        <w:ind w:left="340"/>
      </w:pPr>
      <w:r>
        <w:rPr>
          <w:b/>
          <w:bCs/>
          <w:color w:val="005AAA"/>
          <w:sz w:val="19"/>
          <w:szCs w:val="19"/>
        </w:rPr>
        <w:t xml:space="preserve">— </w:t>
      </w:r>
      <w:r>
        <w:rPr>
          <w:b w:val="false"/>
          <w:bCs w:val="false"/>
          <w:color w:val="1E293B"/>
          <w:sz w:val="19"/>
          <w:szCs w:val="19"/>
        </w:rPr>
        <w:t xml:space="preserve">Stanford d.school — Design Thinking Bootleg: dschool.stanford.edu/resources/the-bootcamp-bootleg</w:t>
      </w:r>
    </w:p>
    <w:p>
      <w:pPr>
        <w:spacing w:after="80" w:line="285"/>
        <w:ind w:left="340"/>
      </w:pPr>
      <w:r>
        <w:rPr>
          <w:b/>
          <w:bCs/>
          <w:color w:val="005AAA"/>
          <w:sz w:val="19"/>
          <w:szCs w:val="19"/>
        </w:rPr>
        <w:t xml:space="preserve">— </w:t>
      </w:r>
      <w:r>
        <w:rPr>
          <w:b w:val="false"/>
          <w:bCs w:val="false"/>
          <w:color w:val="1E293B"/>
          <w:sz w:val="19"/>
          <w:szCs w:val="19"/>
        </w:rPr>
        <w:t xml:space="preserve">CDIO Initiative: cdio.org; en.wikipedia.org/wiki/CDIO_Initiative</w:t>
      </w:r>
    </w:p>
    <w:p>
      <w:pPr>
        <w:spacing w:after="80" w:line="285"/>
        <w:ind w:left="340"/>
      </w:pPr>
      <w:r>
        <w:rPr>
          <w:b/>
          <w:bCs/>
          <w:color w:val="005AAA"/>
          <w:sz w:val="19"/>
          <w:szCs w:val="19"/>
        </w:rPr>
        <w:t xml:space="preserve">— </w:t>
      </w:r>
      <w:r>
        <w:rPr>
          <w:b w:val="false"/>
          <w:bCs w:val="false"/>
          <w:color w:val="1E293B"/>
          <w:sz w:val="19"/>
          <w:szCs w:val="19"/>
        </w:rPr>
        <w:t xml:space="preserve">ТПУ / Сколтех — русскоязычные стандарты и программа повышения квалификации по CDIO: portal.tpu.ru, linuxconsult01.ita.chalmers.se (CDIO_standards_rus_TPU)</w:t>
      </w:r>
    </w:p>
    <w:p>
      <w:pPr>
        <w:spacing w:after="80" w:line="285"/>
        <w:ind w:left="340"/>
      </w:pPr>
      <w:r>
        <w:rPr>
          <w:b/>
          <w:bCs/>
          <w:color w:val="005AAA"/>
          <w:sz w:val="19"/>
          <w:szCs w:val="19"/>
        </w:rPr>
        <w:t xml:space="preserve">— </w:t>
      </w:r>
      <w:r>
        <w:rPr>
          <w:b w:val="false"/>
          <w:bCs w:val="false"/>
          <w:color w:val="1E293B"/>
          <w:sz w:val="19"/>
          <w:szCs w:val="19"/>
        </w:rPr>
        <w:t xml:space="preserve">MIT 2.009 Product Engineering Processes: 2009.mit.edu/course-description; meche.mit.edu</w:t>
      </w:r>
    </w:p>
    <w:p>
      <w:pPr>
        <w:spacing w:after="80" w:line="285"/>
        <w:ind w:left="340"/>
      </w:pPr>
      <w:r>
        <w:rPr>
          <w:b/>
          <w:bCs/>
          <w:color w:val="005AAA"/>
          <w:sz w:val="19"/>
          <w:szCs w:val="19"/>
        </w:rPr>
        <w:t xml:space="preserve">— </w:t>
      </w:r>
      <w:r>
        <w:rPr>
          <w:b w:val="false"/>
          <w:bCs w:val="false"/>
          <w:color w:val="1E293B"/>
          <w:sz w:val="19"/>
          <w:szCs w:val="19"/>
        </w:rPr>
        <w:t xml:space="preserve">PMI — PMBOK Guide, 7-е издание (2021) и 8-е издание (ноябрь 2025): обзоры pmstudycircle.com, learningtree.com, vanharen.net</w:t>
      </w:r>
    </w:p>
    <w:p>
      <w:pPr>
        <w:spacing w:after="80" w:line="285"/>
        <w:ind w:left="340"/>
      </w:pPr>
      <w:r>
        <w:rPr>
          <w:b/>
          <w:bCs/>
          <w:color w:val="005AAA"/>
          <w:sz w:val="19"/>
          <w:szCs w:val="19"/>
        </w:rPr>
        <w:t xml:space="preserve">— </w:t>
      </w:r>
      <w:r>
        <w:rPr>
          <w:b w:val="false"/>
          <w:bCs w:val="false"/>
          <w:color w:val="1E293B"/>
          <w:sz w:val="19"/>
          <w:szCs w:val="19"/>
        </w:rPr>
        <w:t xml:space="preserve">Steve Blank, Lean LaunchPad — Customer Discovery + Business Model Canvas (A. Osterwalder): описания программ my.gcc.edu, entrepreneur.nyu.edu</w:t>
      </w:r>
    </w:p>
    <w:sectPr>
      <w:pgSz w:w="11906" w:h="16838" w:orient="portrait"/>
      <w:pgMar w:top="1000" w:right="1440" w:bottom="10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E293B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2026-09-09T23:29:52.142Z</dcterms:created>
  <dcterms:modified xsi:type="dcterms:W3CDTF">2026-09-09T23:29:52.153Z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