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5" w:before="0" w:line="264"/>
      </w:pPr>
      <w:r>
        <w:rPr>
          <w:rFonts w:ascii="Arial" w:cs="Arial" w:eastAsia="Arial" w:hAnsi="Arial"/>
          <w:color w:val="6E6E6E"/>
          <w:sz w:val="16"/>
          <w:szCs w:val="16"/>
        </w:rPr>
        <w:t xml:space="preserve">ГУАП · Кафедра № 3 · курс проектной деятельности</w:t>
      </w:r>
    </w:p>
    <w:p>
      <w:pPr>
        <w:pBdr>
          <w:bottom w:val="single" w:color="005AAA" w:sz="10" w:space="5"/>
        </w:pBdr>
        <w:spacing w:after="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ПАСПОРТ ПРОЕКТА — ОБРАЗЕЦ ЗАПОЛНЕНИЯ</w:t>
      </w:r>
    </w:p>
    <w:p>
      <w:pPr>
        <w:spacing w:after="80" w:before="0" w:line="264"/>
      </w:pPr>
      <w:r>
        <w:rPr>
          <w:rFonts w:ascii="Arial" w:cs="Arial" w:eastAsia="Arial" w:hAnsi="Arial"/>
          <w:i/>
          <w:iCs/>
          <w:color w:val="6E6E6E"/>
          <w:sz w:val="17"/>
          <w:szCs w:val="17"/>
        </w:rPr>
        <w:t xml:space="preserve">Тот же бланк, что у вас на руках, заполненный до конца на сквозном примере курса — «умный горшок для растений» (Вектор А). Образец нужен не для списывания: содержание вашего проекта другое. Смотреть надо на форму — насколько конкретно, насколько проверяемо, какой длины ответ достаточен.</w:t>
      </w:r>
    </w:p>
    <w:tbl>
      <w:tblPr>
        <w:tblW w:type="pct" w:w="100%"/>
        <w:tblBorders>
          <w:top w:val="single" w:color="DCE3EA" w:sz="4"/>
          <w:left w:val="single" w:color="005AAA" w:sz="18"/>
          <w:bottom w:val="single" w:color="DCE3EA" w:sz="4"/>
          <w:right w:val="single" w:color="DCE3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4F7FA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5AAA"/>
                <w:sz w:val="16"/>
                <w:szCs w:val="16"/>
              </w:rPr>
              <w:t xml:space="preserve">Почему так написано:  </w:t>
            </w:r>
            <w:r>
              <w:rPr>
                <w:rFonts w:ascii="Arial" w:cs="Arial" w:eastAsia="Arial" w:hAnsi="Arial"/>
                <w:color w:val="6E6E6E"/>
                <w:sz w:val="16"/>
                <w:szCs w:val="16"/>
              </w:rPr>
              <w:t xml:space="preserve">Серые плашки с этой пометкой в настоящем паспорте не пишутся. Это разбор: чем заполненная строка отличается от строки, заполненной наугад.</w:t>
            </w:r>
          </w:p>
        </w:tc>
      </w:tr>
    </w:tbl>
    <w:p>
      <w:pPr>
        <w:pBdr>
          <w:bottom w:val="single" w:color="005AAA" w:sz="6" w:space="3"/>
        </w:pBdr>
        <w:spacing w:after="55" w:before="190"/>
      </w:pPr>
      <w:r>
        <w:rPr>
          <w:rFonts w:ascii="Arial" w:cs="Arial" w:eastAsia="Arial" w:hAnsi="Arial"/>
          <w:b/>
          <w:bCs/>
          <w:color w:val="005AAA"/>
          <w:sz w:val="21"/>
          <w:szCs w:val="21"/>
        </w:rPr>
        <w:t xml:space="preserve">1.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Название проекта</w:t>
      </w:r>
      <w:r>
        <w:rPr>
          <w:rFonts w:ascii="Arial" w:cs="Arial" w:eastAsia="Arial" w:hAnsi="Arial"/>
          <w:i/>
          <w:iCs/>
          <w:color w:val="6E6E6E"/>
          <w:sz w:val="16"/>
          <w:szCs w:val="16"/>
        </w:rPr>
        <w:t xml:space="preserve">   рабочее, одна строка</w:t>
      </w:r>
    </w:p>
    <w:p>
      <w:pPr>
        <w:spacing w:after="90" w:before="0" w:line="26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«Умный горшок»: индикатор полива комнатного растения по влажности почвы</w:t>
      </w:r>
    </w:p>
    <w:tbl>
      <w:tblPr>
        <w:tblW w:type="pct" w:w="100%"/>
        <w:tblBorders>
          <w:top w:val="single" w:color="DCE3EA" w:sz="4"/>
          <w:left w:val="single" w:color="005AAA" w:sz="18"/>
          <w:bottom w:val="single" w:color="DCE3EA" w:sz="4"/>
          <w:right w:val="single" w:color="DCE3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4F7FA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5AAA"/>
                <w:sz w:val="16"/>
                <w:szCs w:val="16"/>
              </w:rPr>
              <w:t xml:space="preserve">Почему так написано:  </w:t>
            </w:r>
            <w:r>
              <w:rPr>
                <w:rFonts w:ascii="Arial" w:cs="Arial" w:eastAsia="Arial" w:hAnsi="Arial"/>
                <w:color w:val="6E6E6E"/>
                <w:sz w:val="16"/>
                <w:szCs w:val="16"/>
              </w:rPr>
              <w:t xml:space="preserve">Название содержит предмет («индикатор полива») и признак, по которому он работает («по влажности почвы»). «Умный горшок» без второй половины — слоган, а не название проекта.</w:t>
            </w:r>
          </w:p>
        </w:tc>
      </w:tr>
    </w:tbl>
    <w:p>
      <w:pPr>
        <w:pBdr>
          <w:bottom w:val="single" w:color="005AAA" w:sz="6" w:space="3"/>
        </w:pBdr>
        <w:spacing w:after="55" w:before="190"/>
      </w:pPr>
      <w:r>
        <w:rPr>
          <w:rFonts w:ascii="Arial" w:cs="Arial" w:eastAsia="Arial" w:hAnsi="Arial"/>
          <w:b/>
          <w:bCs/>
          <w:color w:val="005AAA"/>
          <w:sz w:val="21"/>
          <w:szCs w:val="21"/>
        </w:rPr>
        <w:t xml:space="preserve">2.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Команда и роли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005AA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Роль</w:t>
            </w:r>
          </w:p>
        </w:tc>
        <w:tc>
          <w:tcPr>
            <w:tcW w:type="pct" w:w="26%"/>
            <w:shd w:fill="005AA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Фамилия, имя</w:t>
            </w:r>
          </w:p>
        </w:tc>
        <w:tc>
          <w:tcPr>
            <w:tcW w:type="pct" w:w="50%"/>
            <w:shd w:fill="005AA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Что делает в проекте</w:t>
            </w:r>
          </w:p>
        </w:tc>
      </w:tr>
      <w:tr>
        <w:trPr>
          <w:trHeight w:val="330" w:hRule="atLeast"/>
        </w:trPr>
        <w:tc>
          <w:tcPr>
            <w:tcW w:type="pct" w:w="2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Лидер</w:t>
            </w:r>
          </w:p>
        </w:tc>
        <w:tc>
          <w:tcPr>
            <w:tcW w:type="pct" w:w="2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Иванов А.</w:t>
            </w:r>
          </w:p>
        </w:tc>
        <w:tc>
          <w:tcPr>
            <w:tcW w:type="pct" w:w="50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Сроки, сборка документов, связь с преподавателем</w:t>
            </w:r>
          </w:p>
        </w:tc>
      </w:tr>
      <w:tr>
        <w:trPr>
          <w:trHeight w:val="330" w:hRule="atLeast"/>
        </w:trPr>
        <w:tc>
          <w:tcPr>
            <w:tcW w:type="pct" w:w="2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Аналитик</w:t>
            </w:r>
          </w:p>
        </w:tc>
        <w:tc>
          <w:tcPr>
            <w:tcW w:type="pct" w:w="2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Петрова М.</w:t>
            </w:r>
          </w:p>
        </w:tc>
        <w:tc>
          <w:tcPr>
            <w:tcW w:type="pct" w:w="50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Методика измерений, обработка данных 10 циклов полива</w:t>
            </w:r>
          </w:p>
        </w:tc>
      </w:tr>
      <w:tr>
        <w:trPr>
          <w:trHeight w:val="330" w:hRule="atLeast"/>
        </w:trPr>
        <w:tc>
          <w:tcPr>
            <w:tcW w:type="pct" w:w="2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Технический эксперт</w:t>
            </w:r>
          </w:p>
        </w:tc>
        <w:tc>
          <w:tcPr>
            <w:tcW w:type="pct" w:w="2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Сидоров К.</w:t>
            </w:r>
          </w:p>
        </w:tc>
        <w:tc>
          <w:tcPr>
            <w:tcW w:type="pct" w:w="50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Схема, пайка, прошивка микроконтроллера</w:t>
            </w:r>
          </w:p>
        </w:tc>
      </w:tr>
      <w:tr>
        <w:trPr>
          <w:trHeight w:val="330" w:hRule="atLeast"/>
        </w:trPr>
        <w:tc>
          <w:tcPr>
            <w:tcW w:type="pct" w:w="2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Коммуникатор</w:t>
            </w:r>
          </w:p>
        </w:tc>
        <w:tc>
          <w:tcPr>
            <w:tcW w:type="pct" w:w="2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Орлова Д.</w:t>
            </w:r>
          </w:p>
        </w:tc>
        <w:tc>
          <w:tcPr>
            <w:tcW w:type="pct" w:w="50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Разговоры с владельцами растений, текст защиты, презентация</w:t>
            </w:r>
          </w:p>
        </w:tc>
      </w:tr>
    </w:tbl>
    <w:tbl>
      <w:tblPr>
        <w:tblW w:type="pct" w:w="100%"/>
        <w:tblBorders>
          <w:top w:val="single" w:color="DCE3EA" w:sz="4"/>
          <w:left w:val="single" w:color="005AAA" w:sz="18"/>
          <w:bottom w:val="single" w:color="DCE3EA" w:sz="4"/>
          <w:right w:val="single" w:color="DCE3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4F7FA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5AAA"/>
                <w:sz w:val="16"/>
                <w:szCs w:val="16"/>
              </w:rPr>
              <w:t xml:space="preserve">Почему так написано:  </w:t>
            </w:r>
            <w:r>
              <w:rPr>
                <w:rFonts w:ascii="Arial" w:cs="Arial" w:eastAsia="Arial" w:hAnsi="Arial"/>
                <w:color w:val="6E6E6E"/>
                <w:sz w:val="16"/>
                <w:szCs w:val="16"/>
              </w:rPr>
              <w:t xml:space="preserve">В третьем столбце — глаголы и предметы, а не «помогает» и «участвует». Роль без своего предмета работы на защите превращается в «он у нас был в команде».</w:t>
            </w:r>
          </w:p>
        </w:tc>
      </w:tr>
    </w:tbl>
    <w:p>
      <w:pPr>
        <w:pBdr>
          <w:bottom w:val="single" w:color="005AAA" w:sz="6" w:space="3"/>
        </w:pBdr>
        <w:spacing w:after="55" w:before="190"/>
      </w:pPr>
      <w:r>
        <w:rPr>
          <w:rFonts w:ascii="Arial" w:cs="Arial" w:eastAsia="Arial" w:hAnsi="Arial"/>
          <w:b/>
          <w:bCs/>
          <w:color w:val="005AAA"/>
          <w:sz w:val="21"/>
          <w:szCs w:val="21"/>
        </w:rPr>
        <w:t xml:space="preserve">3.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Проблема и ценностное предложение</w:t>
      </w:r>
      <w:r>
        <w:rPr>
          <w:rFonts w:ascii="Arial" w:cs="Arial" w:eastAsia="Arial" w:hAnsi="Arial"/>
          <w:i/>
          <w:iCs/>
          <w:color w:val="6E6E6E"/>
          <w:sz w:val="16"/>
          <w:szCs w:val="16"/>
        </w:rPr>
        <w:t xml:space="preserve">   переносится с листа 1</w:t>
      </w:r>
    </w:p>
    <w:p>
      <w:pPr>
        <w:spacing w:after="90" w:before="0" w:line="26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Проблема: комнатные растения поливают «на глаз», без обратной связи от почвы. Перелив и пересушивание заметны только тогда, когда растение уже пострадало.</w:t>
      </w:r>
    </w:p>
    <w:p>
      <w:pPr>
        <w:spacing w:after="90" w:before="0" w:line="26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Для кого: студенты и сотрудники, держащие 1–3 растения в комнате или на рабочем месте и уезжающие на несколько дней.</w:t>
      </w:r>
    </w:p>
    <w:p>
      <w:pPr>
        <w:spacing w:after="90" w:before="0" w:line="26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Что делаем: горшок со встроенным датчиком влажности почвы и световым индикатором «сухо / норма / перелив».</w:t>
      </w:r>
    </w:p>
    <w:p>
      <w:pPr>
        <w:spacing w:after="90" w:before="0" w:line="26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Какую выгоду даёт: решение о поливе принимается по показанию датчика, а не по внешнему виду земли; пропущенный или лишний полив виден сразу, а не через неделю.</w:t>
      </w:r>
    </w:p>
    <w:p>
      <w:pPr>
        <w:spacing w:after="90" w:before="0" w:line="26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В отличие от чего: сейчас — полив по расписанию или на ощупь; промышленные системы автополива стоят от нескольких тысяч рублей и рассчитаны на теплицу, а не на один горшок.</w:t>
      </w:r>
    </w:p>
    <w:tbl>
      <w:tblPr>
        <w:tblW w:type="pct" w:w="100%"/>
        <w:tblBorders>
          <w:top w:val="single" w:color="DCE3EA" w:sz="4"/>
          <w:left w:val="single" w:color="005AAA" w:sz="18"/>
          <w:bottom w:val="single" w:color="DCE3EA" w:sz="4"/>
          <w:right w:val="single" w:color="DCE3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4F7FA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5AAA"/>
                <w:sz w:val="16"/>
                <w:szCs w:val="16"/>
              </w:rPr>
              <w:t xml:space="preserve">Почему так написано:  </w:t>
            </w:r>
            <w:r>
              <w:rPr>
                <w:rFonts w:ascii="Arial" w:cs="Arial" w:eastAsia="Arial" w:hAnsi="Arial"/>
                <w:color w:val="6E6E6E"/>
                <w:sz w:val="16"/>
                <w:szCs w:val="16"/>
              </w:rPr>
              <w:t xml:space="preserve">Четыре строки формулы записаны по отдельности и каждая отвечает на свой вопрос. «Для кого» сужено до группы, которую можно найти и опросить, — не «для всех любителей растений».</w:t>
            </w:r>
          </w:p>
        </w:tc>
      </w:tr>
    </w:tbl>
    <w:p>
      <w:r>
        <w:br w:type="page"/>
      </w:r>
    </w:p>
    <w:p>
      <w:pPr>
        <w:pBdr>
          <w:bottom w:val="single" w:color="005AAA" w:sz="6" w:space="3"/>
        </w:pBdr>
        <w:spacing w:after="55" w:before="190"/>
      </w:pPr>
      <w:r>
        <w:rPr>
          <w:rFonts w:ascii="Arial" w:cs="Arial" w:eastAsia="Arial" w:hAnsi="Arial"/>
          <w:b/>
          <w:bCs/>
          <w:color w:val="005AAA"/>
          <w:sz w:val="21"/>
          <w:szCs w:val="21"/>
        </w:rPr>
        <w:t xml:space="preserve">4.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Цель проекта по SMART</w:t>
      </w:r>
      <w:r>
        <w:rPr>
          <w:rFonts w:ascii="Arial" w:cs="Arial" w:eastAsia="Arial" w:hAnsi="Arial"/>
          <w:i/>
          <w:iCs/>
          <w:color w:val="6E6E6E"/>
          <w:sz w:val="16"/>
          <w:szCs w:val="16"/>
        </w:rPr>
        <w:t xml:space="preserve">   переносится с листа 2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005AA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Буква</w:t>
            </w:r>
          </w:p>
        </w:tc>
        <w:tc>
          <w:tcPr>
            <w:tcW w:type="pct" w:w="80%"/>
            <w:shd w:fill="005AA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Формулировка</w:t>
            </w:r>
          </w:p>
        </w:tc>
      </w:tr>
      <w:tr>
        <w:trPr>
          <w:trHeight w:val="300" w:hRule="atLeast"/>
        </w:trPr>
        <w:tc>
          <w:tcPr>
            <w:tcW w:type="pct" w:w="20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S — Specific</w:t>
            </w:r>
          </w:p>
        </w:tc>
        <w:tc>
          <w:tcPr>
            <w:tcW w:type="pct" w:w="80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Прототип горшка со встроенным датчиком влажности почвы и световым индикатором «сухо / норма / перелив»</w:t>
            </w:r>
          </w:p>
        </w:tc>
      </w:tr>
      <w:tr>
        <w:trPr>
          <w:trHeight w:val="300" w:hRule="atLeast"/>
        </w:trPr>
        <w:tc>
          <w:tcPr>
            <w:tcW w:type="pct" w:w="20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M — Measurable</w:t>
            </w:r>
          </w:p>
        </w:tc>
        <w:tc>
          <w:tcPr>
            <w:tcW w:type="pct" w:w="80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Показание индикатора совпадает с контрольным влагомером с точностью не хуже ±10 %, проверено не менее чем в 10 циклах полива</w:t>
            </w:r>
          </w:p>
        </w:tc>
      </w:tr>
      <w:tr>
        <w:trPr>
          <w:trHeight w:val="300" w:hRule="atLeast"/>
        </w:trPr>
        <w:tc>
          <w:tcPr>
            <w:tcW w:type="pct" w:w="20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A — Achievable</w:t>
            </w:r>
          </w:p>
        </w:tc>
        <w:tc>
          <w:tcPr>
            <w:tcW w:type="pct" w:w="80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Команда 3–4 человека; нужны датчик влажности, микроконтроллер, светодиод — типовой доступный набор</w:t>
            </w:r>
          </w:p>
        </w:tc>
      </w:tr>
      <w:tr>
        <w:trPr>
          <w:trHeight w:val="300" w:hRule="atLeast"/>
        </w:trPr>
        <w:tc>
          <w:tcPr>
            <w:tcW w:type="pct" w:w="20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R — Relevant</w:t>
            </w:r>
          </w:p>
        </w:tc>
        <w:tc>
          <w:tcPr>
            <w:tcW w:type="pct" w:w="80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Закрывает проблему из раздела 3: полив на глаз, без обратной связи от почвы</w:t>
            </w:r>
          </w:p>
        </w:tc>
      </w:tr>
      <w:tr>
        <w:trPr>
          <w:trHeight w:val="300" w:hRule="atLeast"/>
        </w:trPr>
        <w:tc>
          <w:tcPr>
            <w:tcW w:type="pct" w:w="20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T — Time-bound</w:t>
            </w:r>
          </w:p>
        </w:tc>
        <w:tc>
          <w:tcPr>
            <w:tcW w:type="pct" w:w="80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Рабочий прототип — к 21.11; три недели испытаний и отчёт — к 26.12</w:t>
            </w:r>
          </w:p>
        </w:tc>
      </w:tr>
    </w:tbl>
    <w:p>
      <w:pPr>
        <w:spacing w:after="90" w:before="70" w:line="264"/>
      </w:pP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Одной фразой: «К 26 декабря мы представим прототип умного горшка с датчиком влажности и индикатором полива, проверенный три недели на живом растении с точностью показаний не хуже 10 %; рабочий прототип — к 21 ноября».</w:t>
      </w:r>
    </w:p>
    <w:tbl>
      <w:tblPr>
        <w:tblW w:type="pct" w:w="100%"/>
        <w:tblBorders>
          <w:top w:val="single" w:color="DCE3EA" w:sz="4"/>
          <w:left w:val="single" w:color="005AAA" w:sz="18"/>
          <w:bottom w:val="single" w:color="DCE3EA" w:sz="4"/>
          <w:right w:val="single" w:color="DCE3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4F7FA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5AAA"/>
                <w:sz w:val="16"/>
                <w:szCs w:val="16"/>
              </w:rPr>
              <w:t xml:space="preserve">Почему так написано:  </w:t>
            </w:r>
            <w:r>
              <w:rPr>
                <w:rFonts w:ascii="Arial" w:cs="Arial" w:eastAsia="Arial" w:hAnsi="Arial"/>
                <w:color w:val="6E6E6E"/>
                <w:sz w:val="16"/>
                <w:szCs w:val="16"/>
              </w:rPr>
              <w:t xml:space="preserve">Число стоит в букве M и повторено в итоговой фразе. Буквы A и R — не украшение: A называет, чего именно не хватает, R связывает цель с разделом 3. Цель, не связанная с разделом 3, — признак того, что команда по дороге подменила задачу.</w:t>
            </w:r>
          </w:p>
        </w:tc>
      </w:tr>
    </w:tbl>
    <w:p>
      <w:pPr>
        <w:pBdr>
          <w:bottom w:val="single" w:color="005AAA" w:sz="6" w:space="3"/>
        </w:pBdr>
        <w:spacing w:after="55" w:before="190"/>
      </w:pPr>
      <w:r>
        <w:rPr>
          <w:rFonts w:ascii="Arial" w:cs="Arial" w:eastAsia="Arial" w:hAnsi="Arial"/>
          <w:b/>
          <w:bCs/>
          <w:color w:val="005AAA"/>
          <w:sz w:val="21"/>
          <w:szCs w:val="21"/>
        </w:rPr>
        <w:t xml:space="preserve">5.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Результат: что предъявляем</w:t>
      </w:r>
      <w:r>
        <w:rPr>
          <w:rFonts w:ascii="Arial" w:cs="Arial" w:eastAsia="Arial" w:hAnsi="Arial"/>
          <w:i/>
          <w:iCs/>
          <w:color w:val="6E6E6E"/>
          <w:sz w:val="16"/>
          <w:szCs w:val="16"/>
        </w:rPr>
        <w:t xml:space="preserve">   то, что кладётся на стол и передаётся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005AA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Что предъявляем</w:t>
            </w:r>
          </w:p>
        </w:tc>
        <w:tc>
          <w:tcPr>
            <w:tcW w:type="pct" w:w="39%"/>
            <w:shd w:fill="005AA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К 21.11 — чекпоинт</w:t>
            </w:r>
          </w:p>
        </w:tc>
        <w:tc>
          <w:tcPr>
            <w:tcW w:type="pct" w:w="39%"/>
            <w:shd w:fill="005AA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К 26.12 — защита</w:t>
            </w:r>
          </w:p>
        </w:tc>
      </w:tr>
      <w:tr>
        <w:trPr>
          <w:trHeight w:val="330" w:hRule="atLeast"/>
        </w:trPr>
        <w:tc>
          <w:tcPr>
            <w:tcW w:type="pct" w:w="22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Изделие, макет или программа</w:t>
            </w:r>
          </w:p>
        </w:tc>
        <w:tc>
          <w:tcPr>
            <w:tcW w:type="pct" w:w="39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Собранный макет: датчик, микроконтроллер, три светодиода на макетной плате; прошивка с порогами</w:t>
            </w:r>
          </w:p>
        </w:tc>
        <w:tc>
          <w:tcPr>
            <w:tcW w:type="pct" w:w="39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Прототип в корпусе горшка, включается и работает без участия команды</w:t>
            </w:r>
          </w:p>
        </w:tc>
      </w:tr>
      <w:tr>
        <w:trPr>
          <w:trHeight w:val="330" w:hRule="atLeast"/>
        </w:trPr>
        <w:tc>
          <w:tcPr>
            <w:tcW w:type="pct" w:w="22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Документ</w:t>
            </w:r>
          </w:p>
        </w:tc>
        <w:tc>
          <w:tcPr>
            <w:tcW w:type="pct" w:w="39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Схема соединений и методика измерения влажности</w:t>
            </w:r>
          </w:p>
        </w:tc>
        <w:tc>
          <w:tcPr>
            <w:tcW w:type="pct" w:w="39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Отчёт 5–7 страниц: устройство, методика, результаты, ограничения</w:t>
            </w:r>
          </w:p>
        </w:tc>
      </w:tr>
      <w:tr>
        <w:trPr>
          <w:trHeight w:val="330" w:hRule="atLeast"/>
        </w:trPr>
        <w:tc>
          <w:tcPr>
            <w:tcW w:type="pct" w:w="22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Данные или измерения</w:t>
            </w:r>
          </w:p>
        </w:tc>
        <w:tc>
          <w:tcPr>
            <w:tcW w:type="pct" w:w="39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Протокол калибровки: 10 пар «датчик / влагомер»</w:t>
            </w:r>
          </w:p>
        </w:tc>
        <w:tc>
          <w:tcPr>
            <w:tcW w:type="pct" w:w="39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Журнал 3 недель наблюдений на живом растении, сводная таблица расхождений</w:t>
            </w:r>
          </w:p>
        </w:tc>
      </w:tr>
    </w:tbl>
    <w:tbl>
      <w:tblPr>
        <w:tblW w:type="pct" w:w="100%"/>
        <w:tblBorders>
          <w:top w:val="single" w:color="DCE3EA" w:sz="4"/>
          <w:left w:val="single" w:color="005AAA" w:sz="18"/>
          <w:bottom w:val="single" w:color="DCE3EA" w:sz="4"/>
          <w:right w:val="single" w:color="DCE3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4F7FA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5AAA"/>
                <w:sz w:val="16"/>
                <w:szCs w:val="16"/>
              </w:rPr>
              <w:t xml:space="preserve">Почему так написано:  </w:t>
            </w:r>
            <w:r>
              <w:rPr>
                <w:rFonts w:ascii="Arial" w:cs="Arial" w:eastAsia="Arial" w:hAnsi="Arial"/>
                <w:color w:val="6E6E6E"/>
                <w:sz w:val="16"/>
                <w:szCs w:val="16"/>
              </w:rPr>
              <w:t xml:space="preserve">В каждой клетке — предмет, который можно взять в руки или открыть. «Продолжаем тестирование», «доработаем прошивку» — это процесс, а не результат: на стол такое не кладётся.</w:t>
            </w:r>
          </w:p>
        </w:tc>
      </w:tr>
    </w:tbl>
    <w:p>
      <w:r>
        <w:br w:type="page"/>
      </w:r>
    </w:p>
    <w:p>
      <w:pPr>
        <w:pBdr>
          <w:bottom w:val="single" w:color="005AAA" w:sz="6" w:space="3"/>
        </w:pBdr>
        <w:spacing w:after="55" w:before="190"/>
      </w:pPr>
      <w:r>
        <w:rPr>
          <w:rFonts w:ascii="Arial" w:cs="Arial" w:eastAsia="Arial" w:hAnsi="Arial"/>
          <w:b/>
          <w:bCs/>
          <w:color w:val="005AAA"/>
          <w:sz w:val="21"/>
          <w:szCs w:val="21"/>
        </w:rPr>
        <w:t xml:space="preserve">6.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Границы: чего мы делать НЕ будем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4%"/>
            <w:shd w:fill="005AA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Тип границы</w:t>
            </w:r>
          </w:p>
        </w:tc>
        <w:tc>
          <w:tcPr>
            <w:tcW w:type="pct" w:w="76%"/>
            <w:shd w:fill="005AA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Формулировка — пишется как отказ</w:t>
            </w:r>
          </w:p>
        </w:tc>
      </w:tr>
      <w:tr>
        <w:trPr>
          <w:trHeight w:val="380" w:hRule="atLeast"/>
        </w:trPr>
        <w:tc>
          <w:tcPr>
            <w:tcW w:type="pct" w:w="2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Чего не делаем</w:t>
            </w:r>
          </w:p>
        </w:tc>
        <w:tc>
          <w:tcPr>
            <w:tcW w:type="pct" w:w="7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Не делаем автоматический полив: устройство только показывает состояние, воду не подаёт. Не делаем мобильное приложение и передачу данных по сети</w:t>
            </w:r>
          </w:p>
        </w:tc>
      </w:tr>
      <w:tr>
        <w:trPr>
          <w:trHeight w:val="380" w:hRule="atLeast"/>
        </w:trPr>
        <w:tc>
          <w:tcPr>
            <w:tcW w:type="pct" w:w="2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Для кого не делаем</w:t>
            </w:r>
          </w:p>
        </w:tc>
        <w:tc>
          <w:tcPr>
            <w:tcW w:type="pct" w:w="7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Не рассчитываем на теплицы, открытый грунт и растения в кашпо объёмом больше 5 литров</w:t>
            </w:r>
          </w:p>
        </w:tc>
      </w:tr>
      <w:tr>
        <w:trPr>
          <w:trHeight w:val="380" w:hRule="atLeast"/>
        </w:trPr>
        <w:tc>
          <w:tcPr>
            <w:tcW w:type="pct" w:w="2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Чего не гарантируем</w:t>
            </w:r>
          </w:p>
        </w:tc>
        <w:tc>
          <w:tcPr>
            <w:tcW w:type="pct" w:w="7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Не гарантируем работу на всех типах почв: калибровка делается на одном грунте и заявляется только для него. Не гарантируем влагозащиту корпуса</w:t>
            </w:r>
          </w:p>
        </w:tc>
      </w:tr>
    </w:tbl>
    <w:tbl>
      <w:tblPr>
        <w:tblW w:type="pct" w:w="100%"/>
        <w:tblBorders>
          <w:top w:val="single" w:color="DCE3EA" w:sz="4"/>
          <w:left w:val="single" w:color="005AAA" w:sz="18"/>
          <w:bottom w:val="single" w:color="DCE3EA" w:sz="4"/>
          <w:right w:val="single" w:color="DCE3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4F7FA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5AAA"/>
                <w:sz w:val="16"/>
                <w:szCs w:val="16"/>
              </w:rPr>
              <w:t xml:space="preserve">Почему так написано:  </w:t>
            </w:r>
            <w:r>
              <w:rPr>
                <w:rFonts w:ascii="Arial" w:cs="Arial" w:eastAsia="Arial" w:hAnsi="Arial"/>
                <w:color w:val="6E6E6E"/>
                <w:sz w:val="16"/>
                <w:szCs w:val="16"/>
              </w:rPr>
              <w:t xml:space="preserve">Каждая строка начинается с «не» и называет конкретную вещь. Граница «не будем усложнять» ничего не защищает: под неё попадает что угодно. Границы пишутся для того, чтобы в ноябре вопрос «а давайте ещё приложение» закрывался ссылкой на документ, а не спором.</w:t>
            </w:r>
          </w:p>
        </w:tc>
      </w:tr>
    </w:tbl>
    <w:p>
      <w:pPr>
        <w:pBdr>
          <w:bottom w:val="single" w:color="005AAA" w:sz="6" w:space="3"/>
        </w:pBdr>
        <w:spacing w:after="55" w:before="190"/>
      </w:pPr>
      <w:r>
        <w:rPr>
          <w:rFonts w:ascii="Arial" w:cs="Arial" w:eastAsia="Arial" w:hAnsi="Arial"/>
          <w:b/>
          <w:bCs/>
          <w:color w:val="005AAA"/>
          <w:sz w:val="21"/>
          <w:szCs w:val="21"/>
        </w:rPr>
        <w:t xml:space="preserve">7.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Ресурсы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fill="005AA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Что нужно</w:t>
            </w:r>
          </w:p>
        </w:tc>
        <w:tc>
          <w:tcPr>
            <w:tcW w:type="pct" w:w="13%"/>
            <w:shd w:fill="005AA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Есть</w:t>
            </w:r>
          </w:p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14"/>
                <w:szCs w:val="14"/>
              </w:rPr>
              <w:t xml:space="preserve">да / нет</w:t>
            </w:r>
          </w:p>
        </w:tc>
        <w:tc>
          <w:tcPr>
            <w:tcW w:type="pct" w:w="53%"/>
            <w:shd w:fill="005AA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Где берём или чем заменяем</w:t>
            </w:r>
          </w:p>
        </w:tc>
      </w:tr>
      <w:tr>
        <w:trPr>
          <w:trHeight w:val="300" w:hRule="atLeast"/>
        </w:trPr>
        <w:tc>
          <w:tcPr>
            <w:tcW w:type="pct" w:w="3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Датчик влажности почвы, микроконтроллер, светодиоды</w:t>
            </w:r>
          </w:p>
        </w:tc>
        <w:tc>
          <w:tcPr>
            <w:tcW w:type="pct" w:w="13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нет</w:t>
            </w:r>
          </w:p>
        </w:tc>
        <w:tc>
          <w:tcPr>
            <w:tcW w:type="pct" w:w="53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Покупаем сами, ориентировочно до 1500 ₽ на команду</w:t>
            </w:r>
          </w:p>
        </w:tc>
      </w:tr>
      <w:tr>
        <w:trPr>
          <w:trHeight w:val="300" w:hRule="atLeast"/>
        </w:trPr>
        <w:tc>
          <w:tcPr>
            <w:tcW w:type="pct" w:w="3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Контрольный влагомер для калибровки</w:t>
            </w:r>
          </w:p>
        </w:tc>
        <w:tc>
          <w:tcPr>
            <w:tcW w:type="pct" w:w="13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нет</w:t>
            </w:r>
          </w:p>
        </w:tc>
        <w:tc>
          <w:tcPr>
            <w:tcW w:type="pct" w:w="53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Спросить на кафедре; если нет — весовой метод (сушка навески грунта)</w:t>
            </w:r>
          </w:p>
        </w:tc>
      </w:tr>
      <w:tr>
        <w:trPr>
          <w:trHeight w:val="300" w:hRule="atLeast"/>
        </w:trPr>
        <w:tc>
          <w:tcPr>
            <w:tcW w:type="pct" w:w="3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Паяльная станция и рабочее место</w:t>
            </w:r>
          </w:p>
        </w:tc>
        <w:tc>
          <w:tcPr>
            <w:tcW w:type="pct" w:w="13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да</w:t>
            </w:r>
          </w:p>
        </w:tc>
        <w:tc>
          <w:tcPr>
            <w:tcW w:type="pct" w:w="53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Лаборатория кафедры, по договорённости</w:t>
            </w:r>
          </w:p>
        </w:tc>
      </w:tr>
      <w:tr>
        <w:trPr>
          <w:trHeight w:val="300" w:hRule="atLeast"/>
        </w:trPr>
        <w:tc>
          <w:tcPr>
            <w:tcW w:type="pct" w:w="3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Навык программирования микроконтроллера</w:t>
            </w:r>
          </w:p>
        </w:tc>
        <w:tc>
          <w:tcPr>
            <w:tcW w:type="pct" w:w="13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частично</w:t>
            </w:r>
          </w:p>
        </w:tc>
        <w:tc>
          <w:tcPr>
            <w:tcW w:type="pct" w:w="53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Сидоров К. делал на первом курсе; недостающее — по документации, срок на освоение 2 недели</w:t>
            </w:r>
          </w:p>
        </w:tc>
      </w:tr>
      <w:tr>
        <w:trPr>
          <w:trHeight w:val="300" w:hRule="atLeast"/>
        </w:trPr>
        <w:tc>
          <w:tcPr>
            <w:tcW w:type="pct" w:w="3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Живое растение для трёхнедельных испытаний</w:t>
            </w:r>
          </w:p>
        </w:tc>
        <w:tc>
          <w:tcPr>
            <w:tcW w:type="pct" w:w="13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да</w:t>
            </w:r>
          </w:p>
        </w:tc>
        <w:tc>
          <w:tcPr>
            <w:tcW w:type="pct" w:w="53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Орлова Д., домашнее растение</w:t>
            </w:r>
          </w:p>
        </w:tc>
      </w:tr>
    </w:tbl>
    <w:tbl>
      <w:tblPr>
        <w:tblW w:type="pct" w:w="100%"/>
        <w:tblBorders>
          <w:top w:val="single" w:color="DCE3EA" w:sz="4"/>
          <w:left w:val="single" w:color="005AAA" w:sz="18"/>
          <w:bottom w:val="single" w:color="DCE3EA" w:sz="4"/>
          <w:right w:val="single" w:color="DCE3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4F7FA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5AAA"/>
                <w:sz w:val="16"/>
                <w:szCs w:val="16"/>
              </w:rPr>
              <w:t xml:space="preserve">Почему так написано:  </w:t>
            </w:r>
            <w:r>
              <w:rPr>
                <w:rFonts w:ascii="Arial" w:cs="Arial" w:eastAsia="Arial" w:hAnsi="Arial"/>
                <w:color w:val="6E6E6E"/>
                <w:sz w:val="16"/>
                <w:szCs w:val="16"/>
              </w:rPr>
              <w:t xml:space="preserve">Строка «контрольный влагомер» честно помечена «нет» и снабжена запасным вариантом. Это и есть работающий паспорт: каждая пустота либо закрыта заменой, либо 17.10 переезжает в реестр рисков. Ресурс, отмеченный «да» без основания, — самая частая причина срыва в ноябре.</w:t>
            </w:r>
          </w:p>
        </w:tc>
      </w:tr>
    </w:tbl>
    <w:p>
      <w:r>
        <w:br w:type="page"/>
      </w:r>
    </w:p>
    <w:p>
      <w:pPr>
        <w:pBdr>
          <w:bottom w:val="single" w:color="005AAA" w:sz="6" w:space="3"/>
        </w:pBdr>
        <w:spacing w:after="55" w:before="190"/>
      </w:pPr>
      <w:r>
        <w:rPr>
          <w:rFonts w:ascii="Arial" w:cs="Arial" w:eastAsia="Arial" w:hAnsi="Arial"/>
          <w:b/>
          <w:bCs/>
          <w:color w:val="005AAA"/>
          <w:sz w:val="21"/>
          <w:szCs w:val="21"/>
        </w:rPr>
        <w:t xml:space="preserve">8.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Ключевые даты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6%"/>
            <w:shd w:fill="005AA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Дата</w:t>
            </w:r>
          </w:p>
        </w:tc>
        <w:tc>
          <w:tcPr>
            <w:tcW w:type="pct" w:w="84%"/>
            <w:shd w:fill="005AA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Что должно быть готово</w:t>
            </w:r>
          </w:p>
        </w:tc>
      </w:tr>
      <w:tr>
        <w:trPr>
          <w:trHeight w:val="290" w:hRule="atLeast"/>
        </w:trPr>
        <w:tc>
          <w:tcPr>
            <w:tcW w:type="pct" w:w="1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26.09</w:t>
            </w:r>
          </w:p>
        </w:tc>
        <w:tc>
          <w:tcPr>
            <w:tcW w:type="pct" w:w="8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Паспорт дописан, тема зафиксирована, проект представлен аудитории</w:t>
            </w:r>
          </w:p>
        </w:tc>
      </w:tr>
      <w:tr>
        <w:trPr>
          <w:trHeight w:val="290" w:hRule="atLeast"/>
        </w:trPr>
        <w:tc>
          <w:tcPr>
            <w:tcW w:type="pct" w:w="1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24.10</w:t>
            </w:r>
          </w:p>
        </w:tc>
        <w:tc>
          <w:tcPr>
            <w:tcW w:type="pct" w:w="8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Декомпозиция работ, график, смета и реестр рисков в одном документе</w:t>
            </w:r>
          </w:p>
        </w:tc>
      </w:tr>
      <w:tr>
        <w:trPr>
          <w:trHeight w:val="290" w:hRule="atLeast"/>
        </w:trPr>
        <w:tc>
          <w:tcPr>
            <w:tcW w:type="pct" w:w="1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21.11</w:t>
            </w:r>
          </w:p>
        </w:tc>
        <w:tc>
          <w:tcPr>
            <w:tcW w:type="pct" w:w="8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Макет собран и откалиброван, протокол 10 циклов, сверка «план против факта»</w:t>
            </w:r>
          </w:p>
        </w:tc>
      </w:tr>
      <w:tr>
        <w:trPr>
          <w:trHeight w:val="290" w:hRule="atLeast"/>
        </w:trPr>
        <w:tc>
          <w:tcPr>
            <w:tcW w:type="pct" w:w="1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26.12</w:t>
            </w:r>
          </w:p>
        </w:tc>
        <w:tc>
          <w:tcPr>
            <w:tcW w:type="pct" w:w="8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Прототип, отчёт, журнал наблюдений, питч-защита</w:t>
            </w:r>
          </w:p>
        </w:tc>
      </w:tr>
    </w:tbl>
    <w:p>
      <w:pPr>
        <w:pBdr>
          <w:bottom w:val="single" w:color="005AAA" w:sz="6" w:space="3"/>
        </w:pBdr>
        <w:spacing w:after="55" w:before="190"/>
      </w:pPr>
      <w:r>
        <w:rPr>
          <w:rFonts w:ascii="Arial" w:cs="Arial" w:eastAsia="Arial" w:hAnsi="Arial"/>
          <w:b/>
          <w:bCs/>
          <w:color w:val="005AAA"/>
          <w:sz w:val="21"/>
          <w:szCs w:val="21"/>
        </w:rPr>
        <w:t xml:space="preserve">9.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Критерии успеха</w:t>
      </w:r>
      <w:r>
        <w:rPr>
          <w:rFonts w:ascii="Arial" w:cs="Arial" w:eastAsia="Arial" w:hAnsi="Arial"/>
          <w:i/>
          <w:iCs/>
          <w:color w:val="6E6E6E"/>
          <w:sz w:val="16"/>
          <w:szCs w:val="16"/>
        </w:rPr>
        <w:t xml:space="preserve">   3–4 штуки, каждый проверяется ответом «да / нет»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</w:tblGrid>
      <w:tr>
        <w:trPr>
          <w:trHeight w:val="300" w:hRule="atLeast"/>
        </w:trPr>
        <w:tc>
          <w:tcPr>
            <w:tcW w:type="pct" w:w="7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pct" w:w="93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Устройство включается и показывает одно из трёх состояний без вмешательства команды — да / нет</w:t>
            </w:r>
          </w:p>
        </w:tc>
      </w:tr>
      <w:tr>
        <w:trPr>
          <w:trHeight w:val="300" w:hRule="atLeast"/>
        </w:trPr>
        <w:tc>
          <w:tcPr>
            <w:tcW w:type="pct" w:w="7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pct" w:w="93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Расхождение с контрольным измерением не превышает 10 % в каждом из 10 циклов калибровки — да / нет</w:t>
            </w:r>
          </w:p>
        </w:tc>
      </w:tr>
      <w:tr>
        <w:trPr>
          <w:trHeight w:val="300" w:hRule="atLeast"/>
        </w:trPr>
        <w:tc>
          <w:tcPr>
            <w:tcW w:type="pct" w:w="7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pct" w:w="93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Журнал трёхнедельных наблюдений заполнен без пропусков более одного дня подряд — да / нет</w:t>
            </w:r>
          </w:p>
        </w:tc>
      </w:tr>
      <w:tr>
        <w:trPr>
          <w:trHeight w:val="300" w:hRule="atLeast"/>
        </w:trPr>
        <w:tc>
          <w:tcPr>
            <w:tcW w:type="pct" w:w="7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pct" w:w="93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Отчёт содержит раздел «ограничения», где названо, при каких условиях устройство не работает — да / нет</w:t>
            </w:r>
          </w:p>
        </w:tc>
      </w:tr>
    </w:tbl>
    <w:tbl>
      <w:tblPr>
        <w:tblW w:type="pct" w:w="100%"/>
        <w:tblBorders>
          <w:top w:val="single" w:color="DCE3EA" w:sz="4"/>
          <w:left w:val="single" w:color="005AAA" w:sz="18"/>
          <w:bottom w:val="single" w:color="DCE3EA" w:sz="4"/>
          <w:right w:val="single" w:color="DCE3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4F7FA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5AAA"/>
                <w:sz w:val="16"/>
                <w:szCs w:val="16"/>
              </w:rPr>
              <w:t xml:space="preserve">Почему так написано:  </w:t>
            </w:r>
            <w:r>
              <w:rPr>
                <w:rFonts w:ascii="Arial" w:cs="Arial" w:eastAsia="Arial" w:hAnsi="Arial"/>
                <w:color w:val="6E6E6E"/>
                <w:sz w:val="16"/>
                <w:szCs w:val="16"/>
              </w:rPr>
              <w:t xml:space="preserve">Каждый критерий проверяет посторонний человек, не спрашивая команду, что имелось в виду. «Устройство работает стабильно» критерием не является: «стабильно» решает тот, кто его написал.</w:t>
            </w:r>
          </w:p>
        </w:tc>
      </w:tr>
    </w:tbl>
    <w:p>
      <w:pPr>
        <w:pBdr>
          <w:bottom w:val="single" w:color="005AAA" w:sz="6" w:space="3"/>
        </w:pBdr>
        <w:spacing w:after="55" w:before="190"/>
      </w:pPr>
      <w:r>
        <w:rPr>
          <w:rFonts w:ascii="Arial" w:cs="Arial" w:eastAsia="Arial" w:hAnsi="Arial"/>
          <w:b/>
          <w:bCs/>
          <w:color w:val="005AAA"/>
          <w:sz w:val="21"/>
          <w:szCs w:val="21"/>
        </w:rPr>
        <w:t xml:space="preserve">10.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Альтернатива</w:t>
      </w:r>
      <w:r>
        <w:rPr>
          <w:rFonts w:ascii="Arial" w:cs="Arial" w:eastAsia="Arial" w:hAnsi="Arial"/>
          <w:i/>
          <w:iCs/>
          <w:color w:val="6E6E6E"/>
          <w:sz w:val="16"/>
          <w:szCs w:val="16"/>
        </w:rPr>
        <w:t xml:space="preserve">   проигравший концепт — на случай, если выбранный не пройдёт проверку</w:t>
      </w:r>
    </w:p>
    <w:p>
      <w:pPr>
        <w:spacing w:after="90" w:before="0" w:line="26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Вектор Б: карточки-инструкции по уходу за растениями для комнат общежития — проиграл по новизне (1 балл из 2: аналогов много) при равной актуальности. Возвращаемся к нему, если до 26.09 выяснится, что датчик влажности недоступен.</w:t>
      </w:r>
    </w:p>
    <w:p>
      <w:pPr>
        <w:pBdr>
          <w:bottom w:val="single" w:color="005AAA" w:sz="6" w:space="3"/>
        </w:pBdr>
        <w:spacing w:after="55" w:before="190"/>
      </w:pPr>
      <w:r>
        <w:rPr>
          <w:rFonts w:ascii="Arial" w:cs="Arial" w:eastAsia="Arial" w:hAnsi="Arial"/>
          <w:b/>
          <w:bCs/>
          <w:color w:val="005AAA"/>
          <w:sz w:val="21"/>
          <w:szCs w:val="21"/>
        </w:rPr>
        <w:t xml:space="preserve">11.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Стейкхолдеры</w:t>
      </w:r>
      <w:r>
        <w:rPr>
          <w:rFonts w:ascii="Arial" w:cs="Arial" w:eastAsia="Arial" w:hAnsi="Arial"/>
          <w:i/>
          <w:iCs/>
          <w:color w:val="6E6E6E"/>
          <w:sz w:val="16"/>
          <w:szCs w:val="16"/>
        </w:rPr>
        <w:t xml:space="preserve">   заполняется 26.09, на практике 3</w:t>
      </w:r>
    </w:p>
    <w:p>
      <w:pPr>
        <w:spacing w:after="90" w:before="0" w:line="264"/>
      </w:pPr>
      <w:r>
        <w:rPr>
          <w:rFonts w:ascii="Arial" w:cs="Arial" w:eastAsia="Arial" w:hAnsi="Arial"/>
          <w:i/>
          <w:iCs/>
          <w:color w:val="6E6E6E"/>
          <w:sz w:val="19"/>
          <w:szCs w:val="19"/>
        </w:rPr>
        <w:t xml:space="preserve">— заполняется на следующем занятии —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5AAA"/>
          <w:sz w:val="24"/>
          <w:szCs w:val="24"/>
        </w:rPr>
        <w:t xml:space="preserve">Как это соотносится с настоящими заявками</w:t>
      </w:r>
    </w:p>
    <w:p>
      <w:pPr>
        <w:spacing w:after="90" w:before="0" w:line="26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Паспорт курса — не учебная выдумка. Это укороченная версия того, что требуют фонды. Разделы совпадают, отличается объём и степень обязательности.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005AA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Раздел паспорта</w:t>
            </w:r>
          </w:p>
        </w:tc>
        <w:tc>
          <w:tcPr>
            <w:tcW w:type="pct" w:w="38%"/>
            <w:shd w:fill="005AA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Фонд президентских грантов</w:t>
            </w:r>
          </w:p>
        </w:tc>
        <w:tc>
          <w:tcPr>
            <w:tcW w:type="pct" w:w="36%"/>
            <w:shd w:fill="005AA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ФСИ («УМНИК», «Старт»)</w:t>
            </w:r>
          </w:p>
        </w:tc>
      </w:tr>
      <w:tr>
        <w:trPr>
          <w:trHeight w:val="280" w:hRule="atLeast"/>
        </w:trPr>
        <w:tc>
          <w:tcPr>
            <w:tcW w:type="pct" w:w="2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6"/>
                <w:szCs w:val="16"/>
              </w:rPr>
              <w:t xml:space="preserve">3. Проблема и ценностное предложение</w:t>
            </w:r>
          </w:p>
        </w:tc>
        <w:tc>
          <w:tcPr>
            <w:tcW w:type="pct" w:w="38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6"/>
                <w:szCs w:val="16"/>
              </w:rPr>
              <w:t xml:space="preserve">«Обоснование социальной значимости», «Целевые группы»</w:t>
            </w:r>
          </w:p>
        </w:tc>
        <w:tc>
          <w:tcPr>
            <w:tcW w:type="pct" w:w="3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6"/>
                <w:szCs w:val="16"/>
              </w:rPr>
              <w:t xml:space="preserve">«Аннотация»: проблема и предлагаемая разработка</w:t>
            </w:r>
          </w:p>
        </w:tc>
      </w:tr>
      <w:tr>
        <w:trPr>
          <w:trHeight w:val="280" w:hRule="atLeast"/>
        </w:trPr>
        <w:tc>
          <w:tcPr>
            <w:tcW w:type="pct" w:w="2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6"/>
                <w:szCs w:val="16"/>
              </w:rPr>
              <w:t xml:space="preserve">4. Цель по SMART</w:t>
            </w:r>
          </w:p>
        </w:tc>
        <w:tc>
          <w:tcPr>
            <w:tcW w:type="pct" w:w="38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6"/>
                <w:szCs w:val="16"/>
              </w:rPr>
              <w:t xml:space="preserve">«Цель и задачи проекта»</w:t>
            </w:r>
          </w:p>
        </w:tc>
        <w:tc>
          <w:tcPr>
            <w:tcW w:type="pct" w:w="3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6"/>
                <w:szCs w:val="16"/>
              </w:rPr>
              <w:t xml:space="preserve">«Цель проекта», план работ по этапам</w:t>
            </w:r>
          </w:p>
        </w:tc>
      </w:tr>
      <w:tr>
        <w:trPr>
          <w:trHeight w:val="280" w:hRule="atLeast"/>
        </w:trPr>
        <w:tc>
          <w:tcPr>
            <w:tcW w:type="pct" w:w="2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6"/>
                <w:szCs w:val="16"/>
              </w:rPr>
              <w:t xml:space="preserve">5. Результат</w:t>
            </w:r>
          </w:p>
        </w:tc>
        <w:tc>
          <w:tcPr>
            <w:tcW w:type="pct" w:w="38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6"/>
                <w:szCs w:val="16"/>
              </w:rPr>
              <w:t xml:space="preserve">«Ожидаемые количественные и качественные результаты»</w:t>
            </w:r>
          </w:p>
        </w:tc>
        <w:tc>
          <w:tcPr>
            <w:tcW w:type="pct" w:w="3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6"/>
                <w:szCs w:val="16"/>
              </w:rPr>
              <w:t xml:space="preserve">«Ожидаемые результаты», KPI этапа</w:t>
            </w:r>
          </w:p>
        </w:tc>
      </w:tr>
      <w:tr>
        <w:trPr>
          <w:trHeight w:val="280" w:hRule="atLeast"/>
        </w:trPr>
        <w:tc>
          <w:tcPr>
            <w:tcW w:type="pct" w:w="2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6"/>
                <w:szCs w:val="16"/>
              </w:rPr>
              <w:t xml:space="preserve">6. Границы</w:t>
            </w:r>
          </w:p>
        </w:tc>
        <w:tc>
          <w:tcPr>
            <w:tcW w:type="pct" w:w="38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6"/>
                <w:szCs w:val="16"/>
              </w:rPr>
              <w:t xml:space="preserve">отдельного раздела нет; проверяется экспертом как соответствие масштаба сумме</w:t>
            </w:r>
          </w:p>
        </w:tc>
        <w:tc>
          <w:tcPr>
            <w:tcW w:type="pct" w:w="3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6"/>
                <w:szCs w:val="16"/>
              </w:rPr>
              <w:t xml:space="preserve">отдельного раздела нет; проверяется как реалистичность плана</w:t>
            </w:r>
          </w:p>
        </w:tc>
      </w:tr>
      <w:tr>
        <w:trPr>
          <w:trHeight w:val="280" w:hRule="atLeast"/>
        </w:trPr>
        <w:tc>
          <w:tcPr>
            <w:tcW w:type="pct" w:w="2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6"/>
                <w:szCs w:val="16"/>
              </w:rPr>
              <w:t xml:space="preserve">7. Ресурсы</w:t>
            </w:r>
          </w:p>
        </w:tc>
        <w:tc>
          <w:tcPr>
            <w:tcW w:type="pct" w:w="38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6"/>
                <w:szCs w:val="16"/>
              </w:rPr>
              <w:t xml:space="preserve">«Общая сумма расходов», «Бюджет», «Команда»</w:t>
            </w:r>
          </w:p>
        </w:tc>
        <w:tc>
          <w:tcPr>
            <w:tcW w:type="pct" w:w="3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6"/>
                <w:szCs w:val="16"/>
              </w:rPr>
              <w:t xml:space="preserve">смета этапа, имеющийся задел</w:t>
            </w:r>
          </w:p>
        </w:tc>
      </w:tr>
      <w:tr>
        <w:trPr>
          <w:trHeight w:val="280" w:hRule="atLeast"/>
        </w:trPr>
        <w:tc>
          <w:tcPr>
            <w:tcW w:type="pct" w:w="2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6"/>
                <w:szCs w:val="16"/>
              </w:rPr>
              <w:t xml:space="preserve">8. Ключевые даты</w:t>
            </w:r>
          </w:p>
        </w:tc>
        <w:tc>
          <w:tcPr>
            <w:tcW w:type="pct" w:w="38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6"/>
                <w:szCs w:val="16"/>
              </w:rPr>
              <w:t xml:space="preserve">«Календарный план»</w:t>
            </w:r>
          </w:p>
        </w:tc>
        <w:tc>
          <w:tcPr>
            <w:tcW w:type="pct" w:w="3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6"/>
                <w:szCs w:val="16"/>
              </w:rPr>
              <w:t xml:space="preserve">план работ: 2 этапа по 12 месяцев</w:t>
            </w:r>
          </w:p>
        </w:tc>
      </w:tr>
      <w:tr>
        <w:trPr>
          <w:trHeight w:val="280" w:hRule="atLeast"/>
        </w:trPr>
        <w:tc>
          <w:tcPr>
            <w:tcW w:type="pct" w:w="2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6"/>
                <w:szCs w:val="16"/>
              </w:rPr>
              <w:t xml:space="preserve">9. Критерии успеха</w:t>
            </w:r>
          </w:p>
        </w:tc>
        <w:tc>
          <w:tcPr>
            <w:tcW w:type="pct" w:w="38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6"/>
                <w:szCs w:val="16"/>
              </w:rPr>
              <w:t xml:space="preserve">измеримые показатели результата</w:t>
            </w:r>
          </w:p>
        </w:tc>
        <w:tc>
          <w:tcPr>
            <w:tcW w:type="pct" w:w="3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6"/>
                <w:szCs w:val="16"/>
              </w:rPr>
              <w:t xml:space="preserve">контрольные точки и приёмка этапа</w:t>
            </w:r>
          </w:p>
        </w:tc>
      </w:tr>
      <w:tr>
        <w:trPr>
          <w:trHeight w:val="280" w:hRule="atLeast"/>
        </w:trPr>
        <w:tc>
          <w:tcPr>
            <w:tcW w:type="pct" w:w="2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pct" w:w="38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6"/>
                <w:szCs w:val="16"/>
              </w:rPr>
              <w:t xml:space="preserve">«Грантовое направление», «География», «Руководитель», «Организация»</w:t>
            </w:r>
          </w:p>
        </w:tc>
        <w:tc>
          <w:tcPr>
            <w:tcW w:type="pct" w:w="3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6"/>
                <w:szCs w:val="16"/>
              </w:rPr>
              <w:t xml:space="preserve">«Научно-техническая новизна», «Коммерциализация»</w:t>
            </w:r>
          </w:p>
        </w:tc>
      </w:tr>
    </w:tbl>
    <w:p>
      <w:pPr>
        <w:spacing w:after="90" w:before="70" w:line="264"/>
      </w:pPr>
      <w:r>
        <w:rPr>
          <w:rFonts w:ascii="Arial" w:cs="Arial" w:eastAsia="Arial" w:hAnsi="Arial"/>
          <w:i/>
          <w:iCs/>
          <w:color w:val="6E6E6E"/>
          <w:sz w:val="17"/>
          <w:szCs w:val="17"/>
        </w:rPr>
        <w:t xml:space="preserve">Два вывода. Первый: разделы 6 и 9 — то, чего в заявках нет отдельной графой, но что эксперт всё равно ищет, читая остальное; научиться писать их явно проще на курсе, чем на заявке. Второй: в заявке добавляются новизна и применение результата — к ним курс подойдёт на неделе 14, когда будет разговор о грантах и экспертизе.</w:t>
      </w:r>
    </w:p>
    <w:p>
      <w:pPr>
        <w:spacing w:after="90" w:before="0" w:line="264"/>
      </w:pPr>
      <w:r>
        <w:rPr>
          <w:rFonts w:ascii="Arial" w:cs="Arial" w:eastAsia="Arial" w:hAnsi="Arial"/>
          <w:i/>
          <w:iCs/>
          <w:color w:val="6E6E6E"/>
          <w:sz w:val="15"/>
          <w:szCs w:val="15"/>
        </w:rPr>
        <w:t xml:space="preserve">Источники структуры: положение о конкурсах Фонда президентских грантов (состав заявки, пр-грант.рф) и Положение о программе «УМНИК» Фонда содействия инновациям (fasie.ru).</w:t>
      </w:r>
    </w:p>
    <w:sectPr>
      <w:pgSz w:w="11906" w:h="16838" w:orient="portrait"/>
      <w:pgMar w:top="750" w:right="800" w:bottom="65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2026-09-19T12:13:54.555Z</dcterms:created>
  <dcterms:modified xsi:type="dcterms:W3CDTF">2026-09-19T12:13:54.555Z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