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>МИНИСТЕРСТВО ОБЩЕГО И ПРОФЕССИОНАЛЬНОГО ОБРАЗОВАНИЯЯ РОСТОВСКОЙ ОБЛАСТИ</w:t>
      </w:r>
    </w:p>
    <w:p>
      <w:pPr>
        <w:pStyle w:val="Style20"/>
        <w:jc w:val="center"/>
        <w:rPr/>
      </w:pPr>
      <w:r>
        <w:rPr>
          <w:rFonts w:cs="Times New Roman" w:ascii="Times New Roman" w:hAnsi="Times New Roman"/>
          <w:caps/>
          <w:sz w:val="20"/>
          <w:szCs w:val="20"/>
        </w:rPr>
        <w:t>Государственное БЮДЖЕТНОЕ ПРОФЕССИОНАЛЬНОЕ образовательное учреждение  Ростовской Области  «Сальский индустриальный техникум»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</w:t>
      </w:r>
      <w:r>
        <w:rPr/>
        <w:t>УТВЕРЖДАЮ</w:t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         </w:t>
      </w:r>
      <w:r>
        <w:rPr/>
        <w:t>Зам. директора по УР</w:t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    </w:t>
      </w:r>
      <w:r>
        <w:rPr/>
        <w:t>____________ Т.В. Якимова</w:t>
      </w:r>
    </w:p>
    <w:p>
      <w:pPr>
        <w:pStyle w:val="Normal"/>
        <w:spacing w:lineRule="auto" w:line="360"/>
        <w:rPr/>
      </w:pPr>
      <w:r>
        <w:rPr/>
        <w:t xml:space="preserve">                                                                                                           </w:t>
      </w:r>
      <w:r>
        <w:rPr/>
        <w:t>«_____» ___________ 20__ г.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>Перечень материалов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для подготовки студентов к промежуточной аттестации</w:t>
      </w:r>
    </w:p>
    <w:p>
      <w:pPr>
        <w:pStyle w:val="Normal"/>
        <w:jc w:val="center"/>
        <w:rPr/>
      </w:pPr>
      <w:r>
        <w:rPr>
          <w:sz w:val="32"/>
          <w:szCs w:val="32"/>
        </w:rPr>
        <w:t>в 2022-2023 учебном году</w:t>
      </w:r>
    </w:p>
    <w:p>
      <w:pPr>
        <w:pStyle w:val="Normal"/>
        <w:ind w:left="1620" w:right="0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МДК 05.01. «Теоретические основы обеспечения надежности систем автоматизации и модулей мехатронных систем»</w:t>
      </w:r>
    </w:p>
    <w:p>
      <w:pPr>
        <w:pStyle w:val="Normal"/>
        <w:ind w:left="142" w:right="0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left="142" w:right="0"/>
        <w:rPr/>
      </w:pPr>
      <w:r>
        <w:rPr/>
        <w:t>специальность (код, название): 15.02.07 «Автоматизация технологических процессов и производств (по отраслям)»</w:t>
      </w:r>
    </w:p>
    <w:p>
      <w:pPr>
        <w:pStyle w:val="Normal"/>
        <w:ind w:left="142" w:right="0"/>
        <w:rPr/>
      </w:pPr>
      <w:r>
        <w:rPr/>
      </w:r>
    </w:p>
    <w:p>
      <w:pPr>
        <w:pStyle w:val="Normal"/>
        <w:ind w:left="142" w:right="0"/>
        <w:rPr/>
      </w:pPr>
      <w:r>
        <w:rPr/>
        <w:t>курс: 4 курс</w:t>
      </w:r>
    </w:p>
    <w:p>
      <w:pPr>
        <w:pStyle w:val="Normal"/>
        <w:spacing w:lineRule="auto" w:line="360"/>
        <w:ind w:left="142" w:right="0"/>
        <w:rPr/>
      </w:pPr>
      <w:r>
        <w:rPr/>
        <w:t xml:space="preserve"> </w:t>
      </w:r>
    </w:p>
    <w:p>
      <w:pPr>
        <w:pStyle w:val="Normal"/>
        <w:spacing w:lineRule="auto" w:line="360"/>
        <w:ind w:left="142" w:right="0"/>
        <w:rPr/>
      </w:pPr>
      <w:r>
        <w:rPr/>
        <w:t>группа: АТП-41, 42</w:t>
      </w:r>
    </w:p>
    <w:p>
      <w:pPr>
        <w:pStyle w:val="Normal"/>
        <w:spacing w:lineRule="auto" w:line="360"/>
        <w:ind w:left="142" w:right="0"/>
        <w:rPr/>
      </w:pPr>
      <w:r>
        <w:rPr/>
        <w:t xml:space="preserve"> </w:t>
      </w:r>
    </w:p>
    <w:p>
      <w:pPr>
        <w:pStyle w:val="Normal"/>
        <w:ind w:left="142" w:right="0"/>
        <w:rPr/>
      </w:pPr>
      <w:r>
        <w:rPr/>
        <w:t>Составил преподаватель: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rPr/>
      </w:pPr>
      <w:r>
        <w:rPr/>
        <w:t>Рассмотрено на заседании</w:t>
      </w:r>
    </w:p>
    <w:p>
      <w:pPr>
        <w:pStyle w:val="Normal"/>
        <w:spacing w:lineRule="auto" w:line="360"/>
        <w:rPr/>
      </w:pPr>
      <w:r>
        <w:rPr/>
        <w:t>цикловой комиссии  технических   дисциплин</w:t>
      </w:r>
    </w:p>
    <w:p>
      <w:pPr>
        <w:pStyle w:val="Normal"/>
        <w:spacing w:lineRule="auto" w:line="360"/>
        <w:rPr/>
      </w:pPr>
      <w:r>
        <w:rPr/>
        <w:t>протокол № _____ от «_____» ______________ 20___г.</w:t>
      </w:r>
    </w:p>
    <w:p>
      <w:pPr>
        <w:pStyle w:val="Normal"/>
        <w:spacing w:lineRule="auto" w:line="360"/>
        <w:rPr/>
      </w:pPr>
      <w:r>
        <w:rPr/>
        <w:t>председатель _________________________________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г.Сальск</w:t>
      </w:r>
    </w:p>
    <w:p>
      <w:pPr>
        <w:pStyle w:val="Normal"/>
        <w:jc w:val="center"/>
        <w:rPr/>
      </w:pPr>
      <w:r>
        <w:rPr/>
        <w:t>20___г.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Контроль знаний</w:t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4119"/>
        <w:gridCol w:w="2418"/>
        <w:gridCol w:w="2233"/>
      </w:tblGrid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  <w:r>
              <w:rPr>
                <w:b/>
              </w:rPr>
              <w:t>п/п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Контрольные работы, </w:t>
            </w:r>
            <w:r>
              <w:rPr>
                <w:b/>
              </w:rPr>
              <w:t>дифференцированный зачет, предусмотренные учебным планом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Раздел, тема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Сроки проведения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(№ урока)</w:t>
            </w:r>
          </w:p>
        </w:tc>
      </w:tr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Cs/>
              </w:rPr>
              <w:t>Дифференцированный зачет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Тема 1.1-1.4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 xml:space="preserve">Требования к результатам освоения основной профессиональной </w:t>
      </w:r>
    </w:p>
    <w:p>
      <w:pPr>
        <w:pStyle w:val="Normal"/>
        <w:ind w:left="720" w:right="0"/>
        <w:jc w:val="center"/>
        <w:rPr>
          <w:b/>
        </w:rPr>
      </w:pPr>
      <w:r>
        <w:rPr>
          <w:b/>
        </w:rPr>
        <w:t>образовательной программы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/>
      </w:pPr>
      <w:r>
        <w:rPr/>
        <w:t xml:space="preserve">В результате освоения </w:t>
      </w:r>
      <w:r>
        <w:rPr>
          <w:b/>
        </w:rPr>
        <w:t>ПМ05</w:t>
      </w:r>
      <w:r>
        <w:rPr/>
        <w:t xml:space="preserve"> </w:t>
      </w:r>
      <w:r>
        <w:rPr>
          <w:b/>
        </w:rPr>
        <w:t>МДК 05.</w:t>
      </w:r>
      <w:r>
        <w:rPr>
          <w:b/>
          <w:bCs/>
        </w:rPr>
        <w:t xml:space="preserve"> 02 «Технология контроля соответствия и надежности устройств и функциональных блоков мехатронных и автоматических устройств и систем управления</w:t>
      </w:r>
      <w:r>
        <w:rPr>
          <w:b/>
        </w:rPr>
        <w:t>»</w:t>
      </w:r>
      <w:r>
        <w:rPr/>
        <w:t xml:space="preserve"> обучающийся должен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иметь практический опыт: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расчета надежности систем управления и отдельных модулей и подсистем мехатронных устройств и систем; 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уметь: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рассчитывать надежность систем управления и отдельных модулей и подсистем мехатронных устройств и систем; 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360"/>
        <w:ind w:firstLine="284" w:left="0" w:right="0"/>
        <w:jc w:val="both"/>
        <w:rPr>
          <w:spacing w:val="-1"/>
          <w:sz w:val="26"/>
          <w:szCs w:val="26"/>
        </w:rPr>
      </w:pPr>
      <w:r>
        <w:rPr>
          <w:sz w:val="26"/>
          <w:szCs w:val="26"/>
        </w:rPr>
        <w:t xml:space="preserve">определять показатели </w:t>
      </w:r>
      <w:r>
        <w:rPr>
          <w:spacing w:val="-1"/>
          <w:sz w:val="26"/>
          <w:szCs w:val="26"/>
        </w:rPr>
        <w:t xml:space="preserve">надежности систем управления; 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360"/>
        <w:ind w:firstLine="284" w:left="0" w:right="0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 xml:space="preserve">осуществлять контроль соответствия устройств </w:t>
      </w:r>
      <w:r>
        <w:rPr>
          <w:sz w:val="26"/>
          <w:szCs w:val="26"/>
        </w:rPr>
        <w:t xml:space="preserve">и функциональных блоков мехатронных и автоматических устройств и систем </w:t>
      </w:r>
      <w:r>
        <w:rPr>
          <w:spacing w:val="-1"/>
          <w:sz w:val="26"/>
          <w:szCs w:val="26"/>
        </w:rPr>
        <w:t xml:space="preserve">управления; 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360"/>
        <w:ind w:firstLine="284" w:left="0" w:right="0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проводить различные виды инструктажей по охране труда;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знать: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показатели надежности; 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назначение элементов систем автоматизации и элементов мехатронных устройств и систем; 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>нормативно-правовую документацию по охране труда.</w:t>
      </w:r>
      <w:r>
        <w:br w:type="page"/>
      </w:r>
    </w:p>
    <w:p>
      <w:pPr>
        <w:pStyle w:val="Normal"/>
        <w:spacing w:lineRule="auto" w:line="360"/>
        <w:ind w:left="720" w:right="0"/>
        <w:jc w:val="center"/>
        <w:rPr>
          <w:b/>
        </w:rPr>
      </w:pPr>
      <w:r>
        <w:rPr>
          <w:b/>
        </w:rPr>
        <w:t>3.  Перечень самостоятельных, практических и лабораторных  работ</w:t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801"/>
        <w:gridCol w:w="2410"/>
        <w:gridCol w:w="2551"/>
      </w:tblGrid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Наименование тем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Тема практической работы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Тема лабораторной работы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Тема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самостоятельной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работы</w:t>
            </w:r>
          </w:p>
        </w:tc>
      </w:tr>
      <w:tr>
        <w:trPr/>
        <w:tc>
          <w:tcPr>
            <w:tcW w:w="103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  <w:bCs/>
                <w:spacing w:val="-1"/>
              </w:rPr>
              <w:t xml:space="preserve">МДК 05.01   Теоретические </w:t>
            </w:r>
            <w:r>
              <w:rPr>
                <w:b/>
                <w:bCs/>
              </w:rPr>
              <w:t>основы обеспечения надежности систем автоматизации и модулей мехатронных систем</w:t>
            </w:r>
          </w:p>
        </w:tc>
      </w:tr>
      <w:tr>
        <w:trPr>
          <w:trHeight w:val="797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Тема 1.1    Задачи обеспечения надежности автоматизированных технологических систем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position w:val="-6"/>
              </w:rPr>
            </w:pPr>
            <w:r>
              <w:rPr>
                <w:b/>
                <w:bCs/>
                <w:position w:val="-6"/>
              </w:rPr>
              <w:t>Практическая работа 1</w:t>
            </w:r>
          </w:p>
          <w:p>
            <w:pPr>
              <w:pStyle w:val="Normal"/>
              <w:rPr>
                <w:bCs/>
                <w:position w:val="-6"/>
              </w:rPr>
            </w:pPr>
            <w:r>
              <w:rPr>
                <w:bCs/>
                <w:position w:val="-6"/>
              </w:rPr>
              <w:t>Определение единичных показателей надежности невосстанавливаемых объектов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iCs/>
                <w:color w:val="000000"/>
              </w:rPr>
            </w:pPr>
            <w:r>
              <w:rPr>
                <w:b/>
                <w:iCs/>
                <w:color w:val="000000"/>
              </w:rPr>
              <w:t>Самостоятельная работа 1</w:t>
            </w:r>
          </w:p>
          <w:p>
            <w:pPr>
              <w:pStyle w:val="Normal"/>
              <w:rPr>
                <w:b/>
                <w:iCs/>
                <w:color w:val="000000"/>
              </w:rPr>
            </w:pPr>
            <w:r>
              <w:rPr/>
              <w:t>Виды автоматизированных систем. Особенности проявления во времени внезапных и постепенных отказов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b/>
                <w:iCs/>
                <w:color w:val="000000"/>
              </w:rPr>
            </w:pPr>
            <w:r>
              <w:rPr>
                <w:b/>
                <w:iCs/>
                <w:color w:val="000000"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pacing w:val="1"/>
              </w:rPr>
            </w:pPr>
            <w:r>
              <w:rPr>
                <w:b/>
                <w:bCs/>
                <w:position w:val="-6"/>
              </w:rPr>
              <w:t>Практическая работа 2</w:t>
            </w:r>
            <w:r>
              <w:rPr>
                <w:bCs/>
                <w:position w:val="-6"/>
              </w:rPr>
              <w:t xml:space="preserve"> Определение единичных и комплексных показателей восстанавливаемых объектов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color w:val="000000"/>
                <w:spacing w:val="1"/>
              </w:rPr>
            </w:pPr>
            <w:r>
              <w:rPr>
                <w:b/>
                <w:color w:val="000000"/>
                <w:spacing w:val="1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Самостоятельная работа № 2</w:t>
            </w:r>
          </w:p>
          <w:p>
            <w:pPr>
              <w:pStyle w:val="Normal"/>
              <w:rPr/>
            </w:pPr>
            <w:r>
              <w:rPr/>
              <w:t>Применение ПЛК в различных сферах деятельности человека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Тема 1.2 Физические основы теории надежности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Практическая работа 3</w:t>
            </w:r>
            <w:r>
              <w:rPr/>
              <w:t xml:space="preserve"> Оценка вероятности отсутствия внезапных отказов механизма.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iCs/>
                <w:color w:val="000000"/>
              </w:rPr>
            </w:pPr>
            <w:r>
              <w:rPr>
                <w:b/>
                <w:iCs/>
                <w:color w:val="000000"/>
              </w:rPr>
              <w:t>Самостоятельная работа 2</w:t>
            </w:r>
          </w:p>
          <w:p>
            <w:pPr>
              <w:pStyle w:val="Normal"/>
              <w:rPr>
                <w:b/>
                <w:iCs/>
                <w:color w:val="000000"/>
              </w:rPr>
            </w:pPr>
            <w:r>
              <w:rPr/>
              <w:t>Влияние законов изменения свойств и состояний материалов на работоспособность системы.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b/>
                <w:iCs/>
                <w:color w:val="000000"/>
              </w:rPr>
            </w:pPr>
            <w:r>
              <w:rPr>
                <w:b/>
                <w:iCs/>
                <w:color w:val="000000"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iCs/>
              </w:rPr>
            </w:pPr>
            <w:r>
              <w:rPr>
                <w:b/>
              </w:rPr>
              <w:t>Практическая работа 4</w:t>
            </w:r>
          </w:p>
          <w:p>
            <w:pPr>
              <w:pStyle w:val="Normal"/>
              <w:rPr>
                <w:iCs/>
              </w:rPr>
            </w:pPr>
            <w:r>
              <w:rPr>
                <w:iCs/>
              </w:rPr>
              <w:t>Оценка вероятности безотказной работы системы в течение заданного времени.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iCs/>
              </w:rPr>
            </w:pPr>
            <w:r>
              <w:rPr>
                <w:b/>
                <w:iCs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Самостоятельная работа 3</w:t>
            </w:r>
          </w:p>
          <w:p>
            <w:pPr>
              <w:pStyle w:val="Normal"/>
              <w:rPr>
                <w:b/>
                <w:bCs/>
              </w:rPr>
            </w:pPr>
            <w:r>
              <w:rPr/>
              <w:t>Специфические аспекты надежности.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Тема 1.3 Обеспечение надежности АСУ ТП при  эксплуатации</w:t>
            </w:r>
          </w:p>
          <w:p>
            <w:pPr>
              <w:pStyle w:val="Normal"/>
              <w:rPr>
                <w:b/>
                <w:iCs/>
              </w:rPr>
            </w:pPr>
            <w:r>
              <w:rPr>
                <w:b/>
                <w:iCs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Практическая работа 5</w:t>
            </w:r>
            <w:r>
              <w:rPr/>
              <w:t xml:space="preserve"> </w:t>
            </w:r>
            <w:r>
              <w:rPr>
                <w:iCs/>
              </w:rPr>
              <w:t>Средняя и удельная трудоемкость технического обслуживания САУ до первого ремонта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iCs/>
                <w:color w:val="000000"/>
              </w:rPr>
            </w:pPr>
            <w:r>
              <w:rPr>
                <w:b/>
                <w:iCs/>
                <w:color w:val="000000"/>
              </w:rPr>
              <w:t>Самостоятельная работа 4</w:t>
            </w:r>
          </w:p>
          <w:p>
            <w:pPr>
              <w:pStyle w:val="Normal"/>
              <w:rPr>
                <w:b/>
                <w:iCs/>
                <w:color w:val="000000"/>
              </w:rPr>
            </w:pPr>
            <w:r>
              <w:rPr/>
              <w:t>Объекты автоматизации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iCs/>
                <w:color w:val="000000"/>
              </w:rPr>
            </w:pPr>
            <w:r>
              <w:rPr>
                <w:b/>
                <w:iCs/>
                <w:color w:val="000000"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Практическая работа 6</w:t>
            </w:r>
            <w:r>
              <w:rPr/>
              <w:t xml:space="preserve"> </w:t>
            </w:r>
            <w:r>
              <w:rPr>
                <w:iCs/>
              </w:rPr>
              <w:t>Определение среднего времени восстановления системы САУ.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Самостоятельная работа 5 </w:t>
            </w:r>
          </w:p>
          <w:p>
            <w:pPr>
              <w:pStyle w:val="Normal"/>
              <w:rPr>
                <w:b/>
                <w:bCs/>
                <w:iCs/>
                <w:color w:val="000000"/>
              </w:rPr>
            </w:pPr>
            <w:r>
              <w:rPr/>
              <w:t>Влияние надежности на эффективность автоматизированных систем.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Практическая работа 7</w:t>
            </w:r>
            <w:r>
              <w:rPr/>
              <w:t xml:space="preserve"> Определение наработки на отказ и коэффициента готовности оборудования.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6</w:t>
            </w:r>
          </w:p>
          <w:p>
            <w:pPr>
              <w:pStyle w:val="Normal"/>
              <w:rPr>
                <w:b/>
              </w:rPr>
            </w:pPr>
            <w:r>
              <w:rPr/>
              <w:t>Расчеты для определения основных показателей надежности.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Практическая работа 8</w:t>
            </w:r>
            <w:r>
              <w:rPr/>
              <w:t xml:space="preserve"> Определение границ вероятности безотказной работы при определительных испытаниях системы.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Практическая работа</w:t>
            </w:r>
            <w:r>
              <w:rPr>
                <w:bCs/>
                <w:iCs/>
              </w:rPr>
              <w:t xml:space="preserve"> </w:t>
            </w:r>
            <w:r>
              <w:rPr>
                <w:b/>
                <w:bCs/>
                <w:iCs/>
              </w:rPr>
              <w:t>9</w:t>
            </w:r>
            <w:r>
              <w:rPr>
                <w:bCs/>
                <w:iCs/>
              </w:rPr>
              <w:t xml:space="preserve"> Оценка </w:t>
            </w:r>
            <w:r>
              <w:rPr>
                <w:iCs/>
              </w:rPr>
              <w:t>границ средней наработки на отказ для невосстанавливаемой системы.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iCs/>
              </w:rPr>
            </w:pPr>
            <w:r>
              <w:rPr>
                <w:b/>
              </w:rPr>
              <w:t xml:space="preserve">Практическая работа </w:t>
            </w:r>
            <w:r>
              <w:rPr>
                <w:b/>
                <w:iCs/>
              </w:rPr>
              <w:t>10</w:t>
            </w:r>
            <w:r>
              <w:rPr>
                <w:iCs/>
              </w:rPr>
              <w:t xml:space="preserve"> </w:t>
            </w:r>
          </w:p>
          <w:p>
            <w:pPr>
              <w:pStyle w:val="Normal"/>
              <w:rPr>
                <w:iCs/>
              </w:rPr>
            </w:pPr>
            <w:r>
              <w:rPr>
                <w:iCs/>
              </w:rPr>
              <w:t>Оценка границ средней наработки на отказ для восстанавливаемой системы.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70" w:hRule="atLeast"/>
        </w:trPr>
        <w:tc>
          <w:tcPr>
            <w:tcW w:w="103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Форма контроля – </w:t>
            </w:r>
            <w:r>
              <w:rPr/>
              <w:t>Дифференцированный зачет</w:t>
            </w:r>
          </w:p>
        </w:tc>
      </w:tr>
    </w:tbl>
    <w:p>
      <w:pPr>
        <w:pStyle w:val="Normal"/>
        <w:widowControl w:val="false"/>
        <w:shd w:fill="FFFFFF" w:val="clear"/>
        <w:autoSpaceDE w:val="false"/>
        <w:jc w:val="center"/>
        <w:rPr>
          <w:b/>
          <w:color w:val="000000"/>
          <w:spacing w:val="-1"/>
          <w:sz w:val="32"/>
          <w:szCs w:val="32"/>
        </w:rPr>
      </w:pPr>
      <w:r>
        <w:rPr>
          <w:b/>
          <w:color w:val="000000"/>
          <w:spacing w:val="-1"/>
          <w:sz w:val="32"/>
          <w:szCs w:val="32"/>
        </w:rPr>
      </w:r>
      <w:r>
        <w:br w:type="page"/>
      </w:r>
    </w:p>
    <w:p>
      <w:pPr>
        <w:pStyle w:val="Normal"/>
        <w:ind w:left="720" w:right="0"/>
        <w:jc w:val="center"/>
        <w:rPr/>
      </w:pPr>
      <w:r>
        <w:rPr>
          <w:b/>
        </w:rPr>
        <w:t>4. Вопросы к дифференцированному зачету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bCs/>
          <w:iCs/>
        </w:rPr>
      </w:pPr>
      <w:r>
        <w:rPr>
          <w:rFonts w:cs="Times New Roman" w:ascii="Times New Roman" w:hAnsi="Times New Roman"/>
          <w:bCs/>
          <w:iCs/>
        </w:rPr>
        <w:t>Основные понятия теории надежности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bCs/>
          <w:iCs/>
        </w:rPr>
      </w:pPr>
      <w:r>
        <w:rPr>
          <w:rFonts w:cs="Times New Roman" w:ascii="Times New Roman" w:hAnsi="Times New Roman"/>
          <w:bCs/>
          <w:iCs/>
        </w:rPr>
        <w:t>Показатели надежности</w:t>
      </w:r>
    </w:p>
    <w:p>
      <w:pPr>
        <w:pStyle w:val="Style23"/>
        <w:numPr>
          <w:ilvl w:val="0"/>
          <w:numId w:val="2"/>
        </w:numPr>
        <w:snapToGrid w:val="false"/>
        <w:spacing w:lineRule="auto" w:line="240" w:before="0" w:after="0"/>
        <w:contextualSpacing/>
        <w:rPr>
          <w:rFonts w:ascii="Times New Roman" w:hAnsi="Times New Roman" w:cs="Times New Roman"/>
          <w:bCs/>
          <w:iCs/>
        </w:rPr>
      </w:pPr>
      <w:r>
        <w:rPr>
          <w:rFonts w:cs="Times New Roman" w:ascii="Times New Roman" w:hAnsi="Times New Roman"/>
          <w:bCs/>
          <w:iCs/>
        </w:rPr>
        <w:t>Вероятность отказа технических устройств</w:t>
      </w:r>
    </w:p>
    <w:p>
      <w:pPr>
        <w:pStyle w:val="Style23"/>
        <w:numPr>
          <w:ilvl w:val="0"/>
          <w:numId w:val="2"/>
        </w:numPr>
        <w:snapToGrid w:val="false"/>
        <w:spacing w:lineRule="auto" w:line="240" w:before="0" w:after="0"/>
        <w:contextualSpacing/>
        <w:rPr>
          <w:rFonts w:ascii="Times New Roman" w:hAnsi="Times New Roman" w:cs="Times New Roman"/>
          <w:bCs/>
          <w:iCs/>
        </w:rPr>
      </w:pPr>
      <w:r>
        <w:rPr>
          <w:rFonts w:cs="Times New Roman" w:ascii="Times New Roman" w:hAnsi="Times New Roman"/>
          <w:bCs/>
          <w:iCs/>
        </w:rPr>
        <w:t>Вероятность безотказной работы технических устройств</w:t>
      </w:r>
    </w:p>
    <w:p>
      <w:pPr>
        <w:pStyle w:val="Style23"/>
        <w:numPr>
          <w:ilvl w:val="0"/>
          <w:numId w:val="2"/>
        </w:numPr>
        <w:snapToGrid w:val="false"/>
        <w:spacing w:lineRule="auto" w:line="240" w:before="0" w:after="0"/>
        <w:contextualSpacing/>
        <w:rPr>
          <w:rFonts w:ascii="Times New Roman" w:hAnsi="Times New Roman" w:cs="Times New Roman"/>
          <w:bCs/>
          <w:iCs/>
        </w:rPr>
      </w:pPr>
      <w:r>
        <w:rPr>
          <w:rFonts w:cs="Times New Roman" w:ascii="Times New Roman" w:hAnsi="Times New Roman"/>
          <w:bCs/>
          <w:iCs/>
        </w:rPr>
        <w:t>Частота отказов, плотность отказов</w:t>
      </w:r>
    </w:p>
    <w:p>
      <w:pPr>
        <w:pStyle w:val="Style23"/>
        <w:numPr>
          <w:ilvl w:val="0"/>
          <w:numId w:val="2"/>
        </w:numPr>
        <w:snapToGrid w:val="false"/>
        <w:spacing w:lineRule="auto" w:line="240" w:before="0" w:after="0"/>
        <w:contextualSpacing/>
        <w:rPr>
          <w:rFonts w:ascii="Times New Roman" w:hAnsi="Times New Roman" w:cs="Times New Roman"/>
          <w:bCs/>
          <w:iCs/>
        </w:rPr>
      </w:pPr>
      <w:r>
        <w:rPr>
          <w:rFonts w:cs="Times New Roman" w:ascii="Times New Roman" w:hAnsi="Times New Roman"/>
          <w:bCs/>
          <w:iCs/>
        </w:rPr>
        <w:t>Различные периоды работы технических устройств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 xml:space="preserve">Надежность в период нормальной эксплуатации. 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>Надежность в период постепенных отказов, возникающих из-за износа и старения.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  <w:color w:val="000000"/>
        </w:rPr>
      </w:pPr>
      <w:r>
        <w:rPr>
          <w:rFonts w:cs="Times New Roman" w:ascii="Times New Roman" w:hAnsi="Times New Roman"/>
          <w:iCs/>
          <w:color w:val="000000"/>
        </w:rPr>
        <w:t>Внезапные и постепенные отказы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 xml:space="preserve">Совместное действие внезапных и постепенных отказов. 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>Особенности надежности восстанавливаемых изделий.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pacing w:val="1"/>
          <w:lang w:eastAsia="ru-RU"/>
        </w:rPr>
      </w:pPr>
      <w:r>
        <w:rPr>
          <w:rFonts w:eastAsia="Times New Roman" w:cs="Times New Roman" w:ascii="Times New Roman" w:hAnsi="Times New Roman"/>
          <w:color w:val="000000"/>
          <w:spacing w:val="1"/>
          <w:lang w:eastAsia="ru-RU"/>
        </w:rPr>
        <w:t>Виды автоматизированных систем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pacing w:val="1"/>
          <w:lang w:eastAsia="ru-RU"/>
        </w:rPr>
      </w:pPr>
      <w:r>
        <w:rPr>
          <w:rFonts w:eastAsia="Times New Roman" w:cs="Times New Roman" w:ascii="Times New Roman" w:hAnsi="Times New Roman"/>
          <w:color w:val="000000"/>
          <w:spacing w:val="1"/>
          <w:lang w:eastAsia="ru-RU"/>
        </w:rPr>
        <w:t>Особенности проявления во времени внезапных и постепенных отказов</w:t>
      </w:r>
    </w:p>
    <w:p>
      <w:pPr>
        <w:pStyle w:val="Style23"/>
        <w:numPr>
          <w:ilvl w:val="0"/>
          <w:numId w:val="2"/>
        </w:numPr>
        <w:snapToGrid w:val="false"/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>Показатели надежности неремонтируемых объектов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>Показатели надежности ремонтируемых объектов</w:t>
      </w:r>
    </w:p>
    <w:p>
      <w:pPr>
        <w:pStyle w:val="Style23"/>
        <w:numPr>
          <w:ilvl w:val="0"/>
          <w:numId w:val="2"/>
        </w:numPr>
        <w:shd w:fill="FFFFFF" w:val="clear"/>
        <w:spacing w:lineRule="auto" w:line="240" w:before="0" w:after="0"/>
        <w:contextualSpacing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Ремонтопригодность и готовность технических устройств</w:t>
      </w:r>
    </w:p>
    <w:p>
      <w:pPr>
        <w:pStyle w:val="Style23"/>
        <w:numPr>
          <w:ilvl w:val="0"/>
          <w:numId w:val="2"/>
        </w:numPr>
        <w:shd w:fill="FFFFFF" w:val="clear"/>
        <w:spacing w:lineRule="auto" w:line="240" w:before="0" w:after="0"/>
        <w:ind w:hanging="360" w:left="720" w:right="106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Методы испытаний на надежность</w:t>
      </w:r>
    </w:p>
    <w:p>
      <w:pPr>
        <w:pStyle w:val="Style23"/>
        <w:numPr>
          <w:ilvl w:val="0"/>
          <w:numId w:val="2"/>
        </w:numPr>
        <w:shd w:fill="FFFFFF" w:val="clear"/>
        <w:spacing w:lineRule="auto" w:line="240"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Надежность систем различных структур</w:t>
      </w:r>
    </w:p>
    <w:p>
      <w:pPr>
        <w:pStyle w:val="Style23"/>
        <w:numPr>
          <w:ilvl w:val="0"/>
          <w:numId w:val="2"/>
        </w:numPr>
        <w:shd w:fill="FFFFFF" w:val="clear"/>
        <w:spacing w:lineRule="auto" w:line="240"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Надежность систем с резервированием</w:t>
      </w:r>
    </w:p>
    <w:p>
      <w:pPr>
        <w:pStyle w:val="Style23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iCs/>
        </w:rPr>
      </w:pPr>
      <w:r>
        <w:rPr>
          <w:rFonts w:cs="Times New Roman" w:ascii="Times New Roman" w:hAnsi="Times New Roman"/>
          <w:iCs/>
        </w:rPr>
        <w:t xml:space="preserve">Ремонтопригодность. </w:t>
      </w:r>
      <w:r>
        <w:br w:type="page"/>
      </w:r>
    </w:p>
    <w:p>
      <w:pPr>
        <w:pStyle w:val="Normal"/>
        <w:ind w:left="720" w:right="0"/>
        <w:jc w:val="center"/>
        <w:rPr/>
      </w:pPr>
      <w:r>
        <w:rPr>
          <w:b/>
        </w:rPr>
        <w:t>5. Критерии оценки знаний и умений учащихся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Оценка – это определение степени усвоения обучаемыми знаний, умений и навыков в соответствии с требованиями программ обучения и руководящими документами обучения.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 xml:space="preserve"> </w:t>
      </w:r>
      <w:r>
        <w:rPr>
          <w:b/>
        </w:rPr>
        <w:t>«ОТЛИЧНО»</w:t>
      </w:r>
      <w:r>
        <w:rPr/>
        <w:t xml:space="preserve">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>
          <w:b/>
        </w:rPr>
        <w:t>«ХОРОШО»</w:t>
      </w:r>
      <w:r>
        <w:rPr/>
        <w:t xml:space="preserve"> - ставится тогда, когда обучаемый твердо знает 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>
          <w:b/>
        </w:rPr>
        <w:t>«УДОВЛЕТВОРИТЕЛЬНО»</w:t>
      </w:r>
      <w:r>
        <w:rPr/>
        <w:t xml:space="preserve"> - ставится при условии, если обучаемый знает лишь основной материал, путается в литературе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 xml:space="preserve"> </w:t>
      </w:r>
      <w:r>
        <w:rPr>
          <w:b/>
        </w:rPr>
        <w:t>«НЕУДОВЛЕТВОРИТЕЛЬНО»</w:t>
      </w:r>
      <w:r>
        <w:rPr/>
        <w:t xml:space="preserve"> - ставится в том 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 </w:t>
      </w:r>
      <w:r>
        <w:rPr>
          <w:b/>
        </w:rPr>
        <w:t>Требования к оценке: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оценка должна быть объективной и справедливой, ясной и понятной для обучаемого,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оценка должна выполнять стимулирующую функцию,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оценка должна быть всесторонней.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При оценке знаний учитывается: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объем знаний по учебному предмету (вопросу),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понимание изученного, самостоятельность суждений, убежденность в излагаемом,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степень систематизации и глубины знаний,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действенность знаний, умение применять их с целью решения практических задач.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При оценке навыков и умений учитываются: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содержание навыков и умений,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точность, прочность, гибкость навыков и умений,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возможность применять навыки и умения на практике,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наличие ошибок, их количество, характер и влияние на работу.</w:t>
      </w:r>
      <w:r>
        <w:br w:type="page"/>
      </w:r>
    </w:p>
    <w:p>
      <w:pPr>
        <w:pStyle w:val="Normal"/>
        <w:jc w:val="center"/>
        <w:rPr/>
      </w:pPr>
      <w:r>
        <w:rPr/>
        <w:t>6. Студенты группы    _</w:t>
      </w:r>
      <w:r>
        <w:rPr>
          <w:u w:val="single"/>
        </w:rPr>
        <w:t>АТП-41</w:t>
      </w:r>
      <w:r>
        <w:rPr/>
        <w:t>_____ознакомлены с материалами промежуточной аттестации:</w:t>
      </w:r>
    </w:p>
    <w:p>
      <w:pPr>
        <w:pStyle w:val="Normal"/>
        <w:rPr/>
      </w:pPr>
      <w:r>
        <w:rPr/>
        <w:t xml:space="preserve">  </w:t>
      </w:r>
    </w:p>
    <w:tbl>
      <w:tblPr>
        <w:tblW w:w="10211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423"/>
        <w:gridCol w:w="2340"/>
        <w:gridCol w:w="2880"/>
      </w:tblGrid>
      <w:tr>
        <w:trPr>
          <w:trHeight w:val="57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Бабнюхов Алексей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Бадиров Аслан Икрамжонович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Божко Роман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Быков Артем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Венецкий Владимир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Давыдов Борис Борисович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Давыдов Сергей Борисович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Дупак Денис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Дьяченко Дмитрий Олегович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327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Кирнос Роман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Кишка Алексей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Кравцов Дмитрий Анатольевич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Кузьменко Егор Николаевич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Кузьмин Евгений Викторович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Лютов Иван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Плаунов Игорь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Романюкин Алексей Алексеевич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Руденко Алексей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Рыбас Данил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Усиченко Александра Александровна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Шарапов Богдан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Преподаватель ____________________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Студенты группы    _</w:t>
      </w:r>
      <w:r>
        <w:rPr>
          <w:u w:val="single"/>
        </w:rPr>
        <w:t>АТП-42</w:t>
      </w:r>
      <w:r>
        <w:rPr/>
        <w:t>_____ознакомлены с материалами промежуточной аттестации:</w:t>
      </w:r>
    </w:p>
    <w:p>
      <w:pPr>
        <w:pStyle w:val="Normal"/>
        <w:rPr/>
      </w:pPr>
      <w:r>
        <w:rPr/>
        <w:t xml:space="preserve">  </w:t>
      </w:r>
    </w:p>
    <w:tbl>
      <w:tblPr>
        <w:tblW w:w="10211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423"/>
        <w:gridCol w:w="2340"/>
        <w:gridCol w:w="2880"/>
      </w:tblGrid>
      <w:tr>
        <w:trPr>
          <w:trHeight w:val="57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Аганин Александр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Алексеев Денис Олегович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Белоотченко Максим Валерьевич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Боярских Евгений Игоревич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Горбиков Сергей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Грищенко Кристина Сергеевна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Евтушенко Иван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Емельяненко Вадим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327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Константинов Владимир Геннадьевич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Лаптев Кирилл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Мацегоров Алексей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Остапенко Владимир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Острижный Виктор Витальевич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Пидаев Гаджи Абдурахманович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Самойличенко Сергей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Степанько Артем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Султанов Денис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Толстой Антон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Фоменко Андрей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Цветков Никита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Преподаватель ____________________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850" w:gutter="0" w:header="0" w:top="1134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Times New Roman" w:hAnsi="Times New Roman" w:cs="Times New Roman"/>
      <w:b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cs="Times New Roman"/>
      <w:b w:val="false"/>
      <w:bCs w:val="false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6z0">
    <w:name w:val="WW8Num16z0"/>
    <w:qFormat/>
    <w:rPr>
      <w:rFonts w:ascii="Times New Roman" w:hAnsi="Times New Roman" w:eastAsia="Times New Roman" w:cs="Times New Roman"/>
      <w:sz w:val="24"/>
      <w:szCs w:val="24"/>
    </w:rPr>
  </w:style>
  <w:style w:type="character" w:styleId="WW8Num17z0">
    <w:name w:val="WW8Num17z0"/>
    <w:qFormat/>
    <w:rPr>
      <w:sz w:val="28"/>
      <w:szCs w:val="28"/>
    </w:rPr>
  </w:style>
  <w:style w:type="character" w:styleId="WW8Num18z0">
    <w:name w:val="WW8Num18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  <w:sz w:val="28"/>
      <w:szCs w:val="28"/>
    </w:rPr>
  </w:style>
  <w:style w:type="character" w:styleId="WW8Num24z0">
    <w:name w:val="WW8Num24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b w:val="false"/>
    </w:rPr>
  </w:style>
  <w:style w:type="character" w:styleId="WW8Num31z0">
    <w:name w:val="WW8Num31z0"/>
    <w:qFormat/>
    <w:rPr>
      <w:sz w:val="24"/>
    </w:rPr>
  </w:style>
  <w:style w:type="character" w:styleId="Style14">
    <w:name w:val="Основной шрифт абзаца"/>
    <w:qFormat/>
    <w:rPr/>
  </w:style>
  <w:style w:type="character" w:styleId="1">
    <w:name w:val="Заголовок №1_"/>
    <w:qFormat/>
    <w:rPr>
      <w:b/>
      <w:bCs/>
      <w:spacing w:val="10"/>
      <w:sz w:val="25"/>
      <w:szCs w:val="25"/>
      <w:lang w:bidi="ar-SA"/>
    </w:rPr>
  </w:style>
  <w:style w:type="character" w:styleId="Style15">
    <w:name w:val="Основной текст Знак"/>
    <w:qFormat/>
    <w:rPr>
      <w:sz w:val="24"/>
      <w:szCs w:val="24"/>
    </w:rPr>
  </w:style>
  <w:style w:type="character" w:styleId="Style16">
    <w:name w:val="Подзаголовок Знак"/>
    <w:qFormat/>
    <w:rPr>
      <w:b/>
      <w:sz w:val="24"/>
    </w:rPr>
  </w:style>
  <w:style w:type="character" w:styleId="Style17">
    <w:name w:val="Название Знак"/>
    <w:qFormat/>
    <w:rPr>
      <w:b/>
      <w:bCs/>
      <w:sz w:val="28"/>
    </w:rPr>
  </w:style>
  <w:style w:type="character" w:styleId="Style18">
    <w:name w:val="Без интервала Знак"/>
    <w:qFormat/>
    <w:rPr>
      <w:rFonts w:ascii="Calibri" w:hAnsi="Calibri" w:cs="Calibri"/>
      <w:sz w:val="22"/>
      <w:szCs w:val="22"/>
      <w:lang w:val="ru-RU" w:bidi="ar-SA"/>
    </w:rPr>
  </w:style>
  <w:style w:type="character" w:styleId="Style19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8"/>
      <w:szCs w:val="20"/>
      <w:lang w:val="en-US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21">
    <w:name w:val="Содержимое таблицы"/>
    <w:basedOn w:val="Normal"/>
    <w:qFormat/>
    <w:pPr>
      <w:suppressLineNumbers/>
      <w:suppressAutoHyphens w:val="true"/>
    </w:pPr>
    <w:rPr/>
  </w:style>
  <w:style w:type="paragraph" w:styleId="Style22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">
    <w:name w:val="Основной текст 2"/>
    <w:basedOn w:val="Normal"/>
    <w:qFormat/>
    <w:pPr/>
    <w:rPr>
      <w:sz w:val="28"/>
      <w:szCs w:val="20"/>
    </w:rPr>
  </w:style>
  <w:style w:type="paragraph" w:styleId="11">
    <w:name w:val="Заголовок №1"/>
    <w:basedOn w:val="Normal"/>
    <w:qFormat/>
    <w:pPr>
      <w:shd w:fill="FFFFFF" w:val="clear"/>
      <w:spacing w:lineRule="atLeast" w:line="240" w:before="0" w:after="240"/>
      <w:outlineLvl w:val="0"/>
    </w:pPr>
    <w:rPr>
      <w:b/>
      <w:bCs/>
      <w:spacing w:val="10"/>
      <w:sz w:val="25"/>
      <w:szCs w:val="25"/>
      <w:lang w:val="en-US"/>
    </w:rPr>
  </w:style>
  <w:style w:type="paragraph" w:styleId="Subtitle">
    <w:name w:val="Subtitle"/>
    <w:basedOn w:val="Normal"/>
    <w:next w:val="BodyText"/>
    <w:qFormat/>
    <w:pPr>
      <w:spacing w:lineRule="auto" w:line="360"/>
      <w:jc w:val="center"/>
    </w:pPr>
    <w:rPr>
      <w:b/>
      <w:szCs w:val="20"/>
      <w:lang w:val="en-US"/>
    </w:rPr>
  </w:style>
  <w:style w:type="paragraph" w:styleId="31">
    <w:name w:val="Основной текст с отступом 31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eastAsia="Calibri" w:cs="Calibri"/>
      <w:sz w:val="22"/>
      <w:szCs w:val="22"/>
    </w:rPr>
  </w:style>
  <w:style w:type="paragraph" w:styleId="3">
    <w:name w:val="заголовок 3"/>
    <w:basedOn w:val="Normal"/>
    <w:next w:val="Normal"/>
    <w:qFormat/>
    <w:pPr>
      <w:keepNext w:val="true"/>
      <w:widowControl w:val="false"/>
      <w:ind w:firstLine="851" w:left="0" w:right="0"/>
    </w:pPr>
    <w:rPr>
      <w:szCs w:val="20"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21"/>
    <w:basedOn w:val="Normal"/>
    <w:qFormat/>
    <w:pPr>
      <w:ind w:hanging="0" w:left="0" w:right="-414"/>
    </w:pPr>
    <w:rPr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2019-10-14T12:45:00Z</dcterms:created>
  <dc:creator>3</dc:creator>
  <dc:description/>
  <cp:keywords/>
  <dc:language>en-US</dc:language>
  <cp:lastModifiedBy>5</cp:lastModifiedBy>
  <cp:lastPrinted>2017-10-30T12:53:00Z</cp:lastPrinted>
  <dcterms:modified xsi:type="dcterms:W3CDTF">2022-10-25T06:16:00Z</dcterms:modified>
  <cp:revision>11</cp:revision>
  <dc:subject/>
  <dc:title/>
</cp:coreProperties>
</file>