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/>
          <w:sz w:val="22"/>
        </w:rPr>
        <w:t>МИНИСТЕРСТВО ОБЩЕГО И ПРОФЕССИОНАЛЬНОГО ОБРАЗОВАНИЯ РОСТОВСКОЙ ОБЛАСТИ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2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«САЛЬСКИЙ ИНДУСТРИАЛЬНЫЙ ТЕХНИКУМ»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  <w:t>(ГБПОУ РО «СИТ»)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УТВЕРЖДАЮ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Зам. директора ГБПОУ РО «СИТ»</w:t>
            </w: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 Т.В. Якимова</w:t>
            </w: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«____» ______________ 20 ____ г.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КАЛЕНДАРНО-ТЕМАТИЧЕСКИЙ ПЛАН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на 3, 4 семестры 2026-2027 учебного года 2 курс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учебной группы (учебных групп) М-21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Профессиональный модуль: ПМ.05 Выполнение работ по профессии 19861 Электромонтер по ремонту и обслуживанию электрооборудования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Междисциплинарные курсы: МДК 05.02 Организация и выполнение работ по сборке и монтажу электрооборудования и распределительных устройств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по профессии: 08.02.09 Монтаж, наладка и эксплуатация электрооборудования промышленных и гражданских зданий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Объем образовательной программы: ______112______________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в том числе в форме практической подготовки ___60______________(часа);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Учебная нагрузка во взаимодействии с преподавателем ________112_______________ (часов):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из нее: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теоретическое обучение __52___ (часов);                    практические занятия __60__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лабораторные занятия ____________ (часов);                   курсовая работа/проект 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самостоятельная работа 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промежуточная аттестация в форме ___Комплексный дифференцированный зачет___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18"/>
        </w:rPr>
        <w:t xml:space="preserve">                                                                               (указать форму)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Составлен в соответствии с рабочей программой ПМ 05, утверждённой __________________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 xml:space="preserve">              (дата утверждения)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Рассмотрен на заседании цикловой комиссии _____________________________ дисциплин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Протокол  №_______от________________20_____ года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Председатель цикловой комиссии ___________________________/Ткаченко А.Н./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2"/>
        </w:rPr>
        <w:t>г. Сальск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2"/>
        </w:rPr>
        <w:t>2026-2027 уч. год</w:t>
      </w:r>
    </w:p>
    <w:p>
      <w:r>
        <w:br w:type="page"/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Распределение часов по профессиональному модулю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1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Междисциплинарный курс (индекс МДК)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Курс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Семестр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Объём образовательной программы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Всего,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Теоретические занятия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Лабораторные работы,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Практические занятия,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Курсовые работы (проекты),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Самостоятельная работа обучающегося,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Учебная практика,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Производственная практика, часов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Практика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Всего</w:t>
            </w:r>
          </w:p>
        </w:tc>
        <w:tc>
          <w:tcPr>
            <w:tcW w:type="dxa" w:w="855"/>
          </w:tcPr>
          <w:p/>
        </w:tc>
        <w:tc>
          <w:tcPr>
            <w:tcW w:type="dxa" w:w="855"/>
          </w:tcPr>
          <w:p/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52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60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0"/>
        </w:rPr>
        <w:t>Форма промежуточной аттестации обучающихся за семестр по междисциплинарному курсу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0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Содержание обучения по профессиональному модулю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0"/>
        </w:rPr>
        <w:t xml:space="preserve">                                                                                                                                        Таблица 2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8135"/>
        <w:gridCol w:w="1862455"/>
        <w:gridCol w:w="1403985"/>
        <w:gridCol w:w="1403985"/>
        <w:gridCol w:w="1403985"/>
        <w:gridCol w:w="937895"/>
        <w:gridCol w:w="937895"/>
        <w:gridCol w:w="577215"/>
        <w:gridCol w:w="585470"/>
        <w:gridCol w:w="600710"/>
        <w:gridCol w:w="543560"/>
      </w:tblGrid>
      <w:tr>
        <w:tc>
          <w:tcPr>
            <w:tcW w:w="318135" w:type="dxa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№ занятия</w:t>
            </w:r>
          </w:p>
        </w:tc>
        <w:tc>
          <w:tcPr>
            <w:tcW w:w="1862455" w:type="dxa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Наименование разделов</w:t>
            </w:r>
            <w:br/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профессионального модуля,</w:t>
            </w:r>
            <w:br/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 и занятий по МДК</w:t>
            </w:r>
          </w:p>
        </w:tc>
        <w:tc>
          <w:tcPr>
            <w:tcW w:w="1403985" w:type="dxa"/>
            <w:vAlign w:val="center"/>
            <w:gridSpan w:val="3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Обязательная учебная нагрузка</w:t>
            </w:r>
          </w:p>
        </w:tc>
        <w:tc>
          <w:tcPr>
            <w:tcW w:w="937895" w:type="dxa"/>
            <w:vAlign w:val="center"/>
            <w:gridSpan w:val="2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Коды формируемых компетенции</w:t>
            </w:r>
          </w:p>
        </w:tc>
        <w:tc>
          <w:tcPr>
            <w:tcW w:w="577215" w:type="dxa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Материальное и информационное</w:t>
            </w:r>
            <w:br/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обеспечение занятий</w:t>
            </w:r>
          </w:p>
        </w:tc>
        <w:tc>
          <w:tcPr>
            <w:tcW w:w="585470" w:type="dxa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Задания для студентов</w:t>
            </w:r>
          </w:p>
        </w:tc>
        <w:tc>
          <w:tcPr>
            <w:tcW w:w="600710" w:type="dxa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Формы и методы контроля</w:t>
            </w:r>
          </w:p>
        </w:tc>
        <w:tc>
          <w:tcPr>
            <w:tcW w:w="543560" w:type="dxa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ФИО преподавателя</w:t>
            </w:r>
          </w:p>
        </w:tc>
      </w:tr>
      <w:tr>
        <w:tc>
          <w:tcPr>
            <w:tcW w:w="318135" w:type="dxa"/>
            <w:vAlign w:val="center"/>
            <w:vMerge/>
          </w:tcPr>
          <w:p/>
        </w:tc>
        <w:tc>
          <w:tcPr>
            <w:tcW w:w="1862455" w:type="dxa"/>
            <w:vAlign w:val="center"/>
            <w:vMerge/>
          </w:tcPr>
          <w:p/>
        </w:tc>
        <w:tc>
          <w:tcPr>
            <w:tcW w:w="1403985" w:type="dxa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Кол-во</w:t>
            </w:r>
            <w:br/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часов</w:t>
            </w:r>
          </w:p>
        </w:tc>
        <w:tc>
          <w:tcPr>
            <w:tcW w:w="1403985" w:type="dxa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В форме практической подготовки</w:t>
            </w:r>
          </w:p>
        </w:tc>
        <w:tc>
          <w:tcPr>
            <w:tcW w:w="1403985" w:type="dxa"/>
            <w:vAlign w:val="center"/>
            <w:vMerge w:val="restart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Вид занятия</w:t>
            </w:r>
          </w:p>
        </w:tc>
        <w:tc>
          <w:tcPr>
            <w:tcW w:w="937895" w:type="dxa"/>
            <w:vAlign w:val="center"/>
            <w:gridSpan w:val="2"/>
            <w:vMerge/>
          </w:tcPr>
          <w:p/>
        </w:tc>
        <w:tc>
          <w:tcPr>
            <w:tcW w:w="577215" w:type="dxa"/>
            <w:vAlign w:val="center"/>
            <w:vMerge/>
          </w:tcPr>
          <w:p/>
        </w:tc>
        <w:tc>
          <w:tcPr>
            <w:tcW w:w="585470" w:type="dxa"/>
            <w:vAlign w:val="center"/>
            <w:vMerge/>
          </w:tcPr>
          <w:p/>
        </w:tc>
        <w:tc>
          <w:tcPr>
            <w:tcW w:w="600710" w:type="dxa"/>
            <w:vAlign w:val="center"/>
            <w:vMerge/>
          </w:tcPr>
          <w:p/>
        </w:tc>
        <w:tc>
          <w:tcPr>
            <w:tcW w:w="543560" w:type="dxa"/>
            <w:vAlign w:val="center"/>
            <w:vMerge/>
          </w:tcPr>
          <w:p/>
        </w:tc>
      </w:tr>
      <w:tr>
        <w:tc>
          <w:tcPr>
            <w:tcW w:w="318135" w:type="dxa"/>
            <w:vAlign w:val="center"/>
            <w:vMerge/>
          </w:tcPr>
          <w:p/>
        </w:tc>
        <w:tc>
          <w:tcPr>
            <w:tcW w:w="1862455" w:type="dxa"/>
            <w:vAlign w:val="center"/>
            <w:vMerge/>
          </w:tcPr>
          <w:p/>
        </w:tc>
        <w:tc>
          <w:tcPr>
            <w:tcW w:w="1403985" w:type="dxa"/>
            <w:vAlign w:val="center"/>
            <w:vMerge/>
          </w:tcPr>
          <w:p/>
        </w:tc>
        <w:tc>
          <w:tcPr>
            <w:tcW w:w="1403985" w:type="dxa"/>
            <w:vAlign w:val="center"/>
            <w:vMerge/>
          </w:tcPr>
          <w:p/>
        </w:tc>
        <w:tc>
          <w:tcPr>
            <w:tcW w:w="1403985" w:type="dxa"/>
            <w:vAlign w:val="center"/>
            <w:vMerge/>
          </w:tcPr>
          <w:p/>
        </w:tc>
        <w:tc>
          <w:tcPr>
            <w:tcW w:w="93789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ОК</w:t>
            </w:r>
          </w:p>
        </w:tc>
        <w:tc>
          <w:tcPr>
            <w:tcW w:w="93789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ПК</w:t>
            </w:r>
          </w:p>
        </w:tc>
        <w:tc>
          <w:tcPr>
            <w:tcW w:w="577215" w:type="dxa"/>
            <w:vAlign w:val="center"/>
            <w:vMerge/>
          </w:tcPr>
          <w:p/>
        </w:tc>
        <w:tc>
          <w:tcPr>
            <w:tcW w:w="585470" w:type="dxa"/>
            <w:vAlign w:val="center"/>
            <w:vMerge/>
          </w:tcPr>
          <w:p/>
        </w:tc>
        <w:tc>
          <w:tcPr>
            <w:tcW w:w="600710" w:type="dxa"/>
            <w:vAlign w:val="center"/>
            <w:vMerge/>
          </w:tcPr>
          <w:p/>
        </w:tc>
        <w:tc>
          <w:tcPr>
            <w:tcW w:w="543560" w:type="dxa"/>
            <w:vAlign w:val="center"/>
            <w:vMerge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</w:t>
            </w:r>
          </w:p>
        </w:tc>
        <w:tc>
          <w:tcPr>
            <w:tcW w:w="186245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3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5</w:t>
            </w:r>
          </w:p>
        </w:tc>
        <w:tc>
          <w:tcPr>
            <w:tcW w:w="93789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6</w:t>
            </w:r>
          </w:p>
        </w:tc>
        <w:tc>
          <w:tcPr>
            <w:tcW w:w="93789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7</w:t>
            </w:r>
          </w:p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8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9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10</w:t>
            </w:r>
          </w:p>
        </w:tc>
        <w:tc>
          <w:tcPr>
            <w:tcW w:w="54356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11</w:t>
            </w:r>
          </w:p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112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60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5-12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30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18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13-22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23-30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ОИ5,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31-40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ОИ6,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41-50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ДИ2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51-60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пускорегулирующей аппаратуры (часть 6)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ОИ4, ДИ2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61-70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 Выполнение расчета выбора проводов осветительных установок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№3 Изучение технологии проверки исправности ламп и ПРА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№4 Сборка и проверка цепей электрического освещения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12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№5 Сборка схемы освещения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14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№8 Выбор типа автоматического воздушного выключателя и тока его расцепителя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№10 Электромонтаж и наладка магнитных пускателей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2.3 Монтаж кабельных линий, комплектных шинопроводов и троллейных линий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14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6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18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2.3 Монтаж кабельных линий, комплектных шинопроводов и троллейных линий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71-78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2.3 Монтаж кабельных линий, комплектных шинопроводов и троллейных линий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79-88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2.3 Монтаж кабельных линий, комплектных шинопроводов и троллейных линий (часть 3)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ОИ5, ДИ2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89-100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2.3 Монтаж кабельных линий, комплектных шинопроводов и троллейных линий (часть 4)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ОИ6, ДИ2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101-112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№11 Изучение технологии выполнения разделки силового кабеля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23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№13 Расчет сечения провода по допустимой длительной токовой нагрузке и потере напряжения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2.4 Монтаж защитного заземления и зануления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25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2.4 Монтаж защитного заземления и зануления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113-120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26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2.5 Монтаж электрических машин и силовых трансформаторов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16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8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2.5 Монтаж электрических машин и силовых трансформаторов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ОИ4,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121-130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28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2.5 Монтаж электрических машин и силовых трансформаторов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OИ4,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131-140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2.5 Монтаж электрических машин и силовых трансформаторов (часть 3)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ОИ4, ДИ2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141-150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2.5 Монтаж электрических машин и силовых трансформаторов (часть 4)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ОИ5, ОИ6, ДИ2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151-160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31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№15 Схемы подключения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32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№15 Схемы подключения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33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34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10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ОИ3,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161-170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ОИ3,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171-180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ОИ3, ОИ4, ДИ2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181-190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38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39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2.7 Ремонт воздушных и кабельных линий электропередачи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10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4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2.7 Ремонт воздушных и кабельных линий электропередачи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191-200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41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2.7 Ремонт воздушных и кабельных линий электропередачи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ОИ1, ОИ2,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201-210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2.7 Ремонт воздушных и кабельных линий электропередачи (часть 3)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ОИ7, ДИ2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211-220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43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44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Тема 2.8 Ремонт электрических машин и трансформаторов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16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45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2.8 Ремонт электрических машин и трансформаторов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ОИ3,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221-230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Вх.контр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2.8 Ремонт электрических машин и трансформаторов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ОИ2, ОИ3, ДИ1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231-240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47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Тема 2.8 Ремонт электрических машин и трансформаторов (часть 3)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Урок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ОИ3, ОИ4, ДИ2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Стр. 241-250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Текущий контроль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48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49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№20 Прямой пуск в ход трехфазного асинхронного двигателя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51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№20 Прямой пуск в ход трехфазного асинхронного двигателя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52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соединения обмоток и коэффициента трансформации трансформатора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Практ. занятие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№3, 2а</w:t>
            </w:r>
          </w:p>
        </w:tc>
        <w:tc>
          <w:tcPr>
            <w:tcW w:w="58547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Метод.указания</w:t>
            </w:r>
          </w:p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Защита пр.работы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Дифференцированный зачет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</w:t>
            </w:r>
          </w:p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Дифференцированный зачет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Диф. зачет</w:t>
            </w:r>
          </w:p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Промежуточная аттестация</w:t>
            </w:r>
          </w:p>
        </w:tc>
        <w:tc>
          <w:tcPr>
            <w:tcW w:w="543560" w:type="dxa"/>
            <w:vAlign w:val="center"/>
          </w:tcPr>
          <w:p/>
        </w:tc>
      </w:tr>
      <w:tr>
        <w:tc>
          <w:tcPr>
            <w:tcW w:w="318135" w:type="dxa"/>
            <w:vAlign w:val="center"/>
          </w:tcPr>
          <w:p/>
        </w:tc>
        <w:tc>
          <w:tcPr>
            <w:tcW w:w="1862455" w:type="dxa"/>
            <w:vAlign w:val="center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Итого: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112</w:t>
            </w:r>
          </w:p>
        </w:tc>
        <w:tc>
          <w:tcPr>
            <w:tcW w:w="140398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  <w:bCs/>
              </w:rPr>
              <w:t xml:space="preserve">60</w:t>
            </w:r>
          </w:p>
        </w:tc>
        <w:tc>
          <w:tcPr>
            <w:tcW w:w="140398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937895" w:type="dxa"/>
            <w:vAlign w:val="center"/>
          </w:tcPr>
          <w:p/>
        </w:tc>
        <w:tc>
          <w:tcPr>
            <w:tcW w:w="577215" w:type="dxa"/>
            <w:vAlign w:val="center"/>
          </w:tcPr>
          <w:p/>
        </w:tc>
        <w:tc>
          <w:tcPr>
            <w:tcW w:w="585470" w:type="dxa"/>
            <w:vAlign w:val="center"/>
          </w:tcPr>
          <w:p/>
        </w:tc>
        <w:tc>
          <w:tcPr>
            <w:tcW w:w="600710" w:type="dxa"/>
            <w:vAlign w:val="center"/>
          </w:tcPr>
          <w:p/>
        </w:tc>
        <w:tc>
          <w:tcPr>
            <w:tcW w:w="543560" w:type="dxa"/>
            <w:vAlign w:val="center"/>
          </w:tcPr>
          <w:p/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Материально-техническое обеспечение занятий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2а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5128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Кабинет физики,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"Слесарно-механическая"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"Электротехническая"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"Монтажа, технического обслуживания и эксплуатации электрооборудования"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Средства мультимедиа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ЭВМ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Информационное обеспечение обучения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Основные источники (ОИ):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2б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1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Григорьева С.В.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2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Технология электромонтажных работ: учеб.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Нестеренко В.М.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3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Сидорова Л.Г.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4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Ярочкина Г.В.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5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Бычков А.В.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6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Шашкова И.В., Бычков А.В.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7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Полуянович Н.К.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Санкт-Петербург: Лань, 2022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Дополнительные источники (ДИ):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2в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1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Климова Г.Н.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2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Бредихин А.Н.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3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Информационный портал для электромонтеров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http://electromonter.info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4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Образовательный сайт "Школа для электрика"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http://ElectricalSchool.info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5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Нормативно-технические документы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http://electrolibrary.info</w:t>
            </w:r>
          </w:p>
        </w:tc>
      </w:tr>
    </w:tbl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