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  <w:t>(ГБПОУ РО «СИТ»)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 w:line="26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КАЛЕНДАРНО-ТЕМАТИЧЕСКИЙ ПЛАН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на 3, 4 семестры 2026-2027 учебного года 2 курс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учебной группы (учебных групп) М-21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из нее: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лабораторные занятия ___________ (часов);                   курсовая работа/проект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самостоятельная работа ___________ (часов);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              (дата утверждения)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Протокол  №_______от________________20_____ года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г. Сальск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Распределение часов по профессиональному модулю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1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 w:val="clear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-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Содержание обучения по профессиональному модулю</w:t>
      </w:r>
    </w:p>
    <w:p>
      <w:pPr>
        <w:spacing w:after="120" w:before="0"/>
        <w:jc w:val="righ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c>
          <w:tcPr>
            <w:shd w:fill="D9E2F3" w:val="clear"/>
            <w:tcW w:w="31813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№ занятия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Наименование разделов</w:t>
              <w:br/>
              <w:t>профессионального модуля,</w:t>
              <w:br/>
              <w:t>тем и занятий по МДК</w:t>
            </w:r>
          </w:p>
        </w:tc>
        <w:tc>
          <w:tcPr>
            <w:gridSpan w:val="3"/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Обязательная учебная нагрузка</w:t>
            </w:r>
          </w:p>
        </w:tc>
        <w:tc>
          <w:tcPr>
            <w:gridSpan w:val="2"/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Коды формируемых компетенции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Материальное и информационное</w:t>
              <w:br/>
              <w:t>обеспечение занятий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Задания для студентов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Формы и методы контроля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ФИО преподавателя</w:t>
            </w:r>
          </w:p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Кол-во</w:t>
              <w:br/>
              <w:t>часов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 форме практической</w:t>
              <w:br/>
              <w:t>подготовки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0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4"/>
              </w:rPr>
              <w:t>Вид занятия</w:t>
            </w:r>
          </w:p>
        </w:tc>
        <w:tc>
          <w:tcPr>
            <w:gridSpan w:val="2"/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ОК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ПК</w:t>
            </w:r>
          </w:p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</w:t>
            </w:r>
          </w:p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5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D9E2F3" w:val="clear"/>
            <w:tcW w:w="93789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7</w:t>
            </w:r>
          </w:p>
        </w:tc>
        <w:tc>
          <w:tcPr>
            <w:shd w:fill="D9E2F3" w:val="clear"/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D9E2F3" w:val="clear"/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9</w:t>
            </w:r>
          </w:p>
        </w:tc>
        <w:tc>
          <w:tcPr>
            <w:shd w:fill="D9E2F3" w:val="clear"/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D9E2F3" w:val="clear"/>
            <w:tcW w:w="54356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</w:t>
            </w:r>
          </w:p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5-89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30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79-93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94-108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109-123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124-138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139-153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154-167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№5 Сборка схемы освещения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228-241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19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242-255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256-269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270-283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2.4 Монтаж защитного заземления и зануления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2.4 Монтаж защитного заземления и зануления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ОИ2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124-167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2.5 Монтаж электрических машин и силовых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8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263-273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274-284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№15 Схемы подключения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175-181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182-188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189-194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39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2.7 Ремонт воздушных и кабельных линий электропередачи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10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4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285-296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297-308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309-320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Тема 2.8 Ремонт электрических машин и трансформаторов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16</w:t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203-218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Вх.контр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219-234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47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Тема 2.8 Ремонт электрических машин и трансформаторов (часть 3)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Урок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ОИ3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Стр. 263-284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Текущий контроль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48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49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50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51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52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53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54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55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Практ. занятие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№3, 2а</w:t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Метод. указания</w:t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Защита пр.работы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F2F2F2" w:val="clear"/>
            <w:tcW w:w="318135" w:type="dxa"/>
          </w:tcPr>
          <w:p/>
        </w:tc>
        <w:tc>
          <w:tcPr>
            <w:shd w:fill="F2F2F2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Дифференцированный зачет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2</w:t>
            </w:r>
          </w:p>
        </w:tc>
        <w:tc>
          <w:tcPr>
            <w:shd w:fill="F2F2F2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</w:r>
          </w:p>
        </w:tc>
        <w:tc>
          <w:tcPr>
            <w:shd w:fill="F2F2F2" w:val="clear"/>
            <w:tcW w:w="140398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937895" w:type="dxa"/>
          </w:tcPr>
          <w:p/>
        </w:tc>
        <w:tc>
          <w:tcPr>
            <w:shd w:fill="F2F2F2" w:val="clear"/>
            <w:tcW w:w="577215" w:type="dxa"/>
          </w:tcPr>
          <w:p/>
        </w:tc>
        <w:tc>
          <w:tcPr>
            <w:shd w:fill="F2F2F2" w:val="clear"/>
            <w:tcW w:w="585470" w:type="dxa"/>
          </w:tcPr>
          <w:p/>
        </w:tc>
        <w:tc>
          <w:tcPr>
            <w:shd w:fill="F2F2F2" w:val="clear"/>
            <w:tcW w:w="600710" w:type="dxa"/>
          </w:tcPr>
          <w:p/>
        </w:tc>
        <w:tc>
          <w:tcPr>
            <w:shd w:fill="F2F2F2" w:val="clear"/>
            <w:tcW w:w="543560" w:type="dxa"/>
          </w:tcPr>
          <w:p/>
        </w:tc>
      </w:tr>
      <w:tr>
        <w:tc>
          <w:tcPr>
            <w:tcW w:w="31813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56</w:t>
            </w:r>
          </w:p>
        </w:tc>
        <w:tc>
          <w:tcPr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Дифференцированный зачет</w:t>
            </w:r>
          </w:p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2</w:t>
            </w:r>
          </w:p>
        </w:tc>
        <w:tc>
          <w:tcPr>
            <w:tcW w:w="1403985" w:type="dxa"/>
          </w:tcPr>
          <w:p/>
        </w:tc>
        <w:tc>
          <w:tcPr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Диф. зачет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ОК 1 - ОК 4, ОК 9</w:t>
            </w:r>
          </w:p>
        </w:tc>
        <w:tc>
          <w:tcPr>
            <w:tcW w:w="937895" w:type="dxa"/>
          </w:tcPr>
          <w:p>
            <w:pPr>
              <w:spacing w:before="0" w:after="0" w:line="18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2"/>
              </w:rPr>
              <w:t>ПК 5.1 - ПК 5.7</w:t>
            </w:r>
          </w:p>
        </w:tc>
        <w:tc>
          <w:tcPr>
            <w:tcW w:w="57721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58547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</w:r>
          </w:p>
        </w:tc>
        <w:tc>
          <w:tcPr>
            <w:tcW w:w="600710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6"/>
              </w:rPr>
              <w:t>Промежуточная аттестация</w:t>
            </w:r>
          </w:p>
        </w:tc>
        <w:tc>
          <w:tcPr>
            <w:tcW w:w="543560" w:type="dxa"/>
          </w:tcPr>
          <w:p/>
        </w:tc>
      </w:tr>
      <w:tr>
        <w:tc>
          <w:tcPr>
            <w:shd w:fill="D9E2F3" w:val="clear"/>
            <w:tcW w:w="318135" w:type="dxa"/>
          </w:tcPr>
          <w:p/>
        </w:tc>
        <w:tc>
          <w:tcPr>
            <w:shd w:fill="D9E2F3" w:val="clear"/>
            <w:tcW w:w="1862455" w:type="dxa"/>
          </w:tcPr>
          <w:p>
            <w:pPr>
              <w:spacing w:before="0" w:after="0" w:line="22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Итого: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112</w:t>
            </w:r>
          </w:p>
        </w:tc>
        <w:tc>
          <w:tcPr>
            <w:shd w:fill="D9E2F3" w:val="clear"/>
            <w:tcW w:w="1403985" w:type="dxa"/>
          </w:tcPr>
          <w:p>
            <w:pPr>
              <w:spacing w:before="0" w:after="0" w:line="22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60</w:t>
            </w:r>
          </w:p>
        </w:tc>
        <w:tc>
          <w:tcPr>
            <w:shd w:fill="D9E2F3" w:val="clear"/>
            <w:tcW w:w="140398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937895" w:type="dxa"/>
          </w:tcPr>
          <w:p/>
        </w:tc>
        <w:tc>
          <w:tcPr>
            <w:shd w:fill="D9E2F3" w:val="clear"/>
            <w:tcW w:w="577215" w:type="dxa"/>
          </w:tcPr>
          <w:p/>
        </w:tc>
        <w:tc>
          <w:tcPr>
            <w:shd w:fill="D9E2F3" w:val="clear"/>
            <w:tcW w:w="585470" w:type="dxa"/>
          </w:tcPr>
          <w:p/>
        </w:tc>
        <w:tc>
          <w:tcPr>
            <w:shd w:fill="D9E2F3" w:val="clear"/>
            <w:tcW w:w="600710" w:type="dxa"/>
          </w:tcPr>
          <w:p/>
        </w:tc>
        <w:tc>
          <w:tcPr>
            <w:shd w:fill="D9E2F3" w:val="clear"/>
            <w:tcW w:w="543560" w:type="dxa"/>
          </w:tcPr>
          <w:p/>
        </w:tc>
      </w:tr>
    </w:tbl>
    <w:p>
      <w:r>
        <w:br w:type="page"/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Материально-техническое обеспечение занятий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2а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ЭВМ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>Информационное обеспечение обучения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Основные источники (ОИ):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2б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Дополнительные источники (ДИ):</w:t>
      </w:r>
    </w:p>
    <w:p>
      <w:pPr>
        <w:spacing w:after="120" w:before="0"/>
        <w:jc w:val="left"/>
      </w:pPr>
      <w:r>
        <w:rPr>
          <w:rFonts w:ascii="Times New Roman" w:hAnsi="Times New Roman" w:eastAsia="Times New Roman" w:cs="Times New Roman"/>
          <w:b/>
          <w:sz w:val="20"/>
        </w:rPr>
        <w:t>Таблица 2в</w:t>
      </w:r>
    </w:p>
    <w:p>
      <w:pPr>
        <w:spacing w:after="120" w:before="0"/>
        <w:jc w:val="center"/>
      </w:pPr>
      <w:r>
        <w:rPr>
          <w:rFonts w:ascii="Times New Roman" w:hAnsi="Times New Roman" w:eastAsia="Times New Roman" w:cs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 w:val="clear"/>
          </w:tcPr>
          <w:p>
            <w:pPr>
              <w:spacing w:before="0" w:after="0" w:line="240" w:lineRule="exact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0" w:after="0" w:line="240" w:lineRule="exact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