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 w:val="0"/>
          <w:sz w:val="24"/>
        </w:rPr>
        <w:t>МИНИСТЕРСТВО ОБРАЗОВАНИЯ РОСТОВСКОЙ ОБЛАСТИ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sz w:val="24"/>
        </w:rPr>
        <w:t>ГОСУДАРСТВЕННОЕ БЮДЖЕТНОЕ ПРОФЕССИОНАЛЬНОЕ ОБРАЗОВАТЕЛЬНОЕ УЧРЕЖДЕНИЕ РОСТОВСКОЙ ОБЛАСТИ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sz w:val="24"/>
        </w:rPr>
        <w:t>«САЛЬСКИЙ ИНДУСТРИАЛЬНЫЙ ТЕХНИКУМ»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40"/>
        <w:ind w:left="6236"/>
        <w:jc w:val="center"/>
      </w:pPr>
      <w:r>
        <w:rPr>
          <w:rFonts w:ascii="Times New Roman" w:hAnsi="Times New Roman"/>
          <w:b w:val="0"/>
          <w:sz w:val="24"/>
        </w:rPr>
        <w:t>УТВЕРЖДАЮ</w:t>
      </w:r>
    </w:p>
    <w:p>
      <w:pPr>
        <w:spacing w:before="0" w:after="0"/>
        <w:ind w:left="6236"/>
        <w:jc w:val="center"/>
      </w:pPr>
      <w:r>
        <w:rPr>
          <w:rFonts w:ascii="Times New Roman" w:hAnsi="Times New Roman"/>
          <w:b w:val="0"/>
          <w:sz w:val="24"/>
        </w:rPr>
        <w:t>Зам. директора по УР</w:t>
      </w:r>
    </w:p>
    <w:p>
      <w:pPr>
        <w:spacing w:before="0" w:after="0"/>
        <w:ind w:left="6236"/>
        <w:jc w:val="center"/>
      </w:pPr>
      <w:r>
        <w:rPr>
          <w:rFonts w:ascii="Times New Roman" w:hAnsi="Times New Roman"/>
          <w:b w:val="0"/>
          <w:sz w:val="24"/>
        </w:rPr>
        <w:t>____________ Т.В. Якимова</w:t>
      </w:r>
    </w:p>
    <w:p>
      <w:pPr>
        <w:spacing w:before="0" w:after="0"/>
        <w:ind w:left="6236"/>
        <w:jc w:val="center"/>
      </w:pPr>
      <w:r>
        <w:rPr>
          <w:rFonts w:ascii="Times New Roman" w:hAnsi="Times New Roman"/>
          <w:b w:val="0"/>
          <w:sz w:val="24"/>
        </w:rPr>
        <w:t>«___» ___________ 2026 г.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40"/>
        <w:jc w:val="center"/>
      </w:pPr>
      <w:r>
        <w:rPr>
          <w:rFonts w:ascii="Times New Roman" w:hAnsi="Times New Roman"/>
          <w:b/>
          <w:sz w:val="32"/>
        </w:rPr>
        <w:t>ПЕРЕЧЕНЬ МАТЕРИАЛОВ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sz w:val="28"/>
        </w:rPr>
        <w:t>для подготовки студентов к промежуточной аттестации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sz w:val="28"/>
        </w:rPr>
        <w:t>в 2026-2027 учебном году</w:t>
      </w:r>
    </w:p>
    <w:p>
      <w:pPr>
        <w:spacing w:before="0" w:after="0"/>
      </w:pP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по профессиональному модулю ПМ.02 «Ведение наладки, юстировки и сдача в эксплуатацию контрольно-измерительных приборов и электрических схем систем автоматики»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для профессии: 15.01.37 Слесарь-наладчик контрольно-измерительных приборов и автоматики</w:t>
      </w:r>
    </w:p>
    <w:p>
      <w:pPr>
        <w:spacing w:before="0" w:after="0"/>
        <w:ind w:firstLine="709"/>
        <w:jc w:val="both"/>
      </w:pPr>
    </w:p>
    <w:p>
      <w:pPr>
        <w:spacing w:before="0" w:after="0"/>
        <w:ind w:firstLine="709"/>
        <w:jc w:val="both"/>
      </w:pPr>
    </w:p>
    <w:p>
      <w:pPr>
        <w:spacing w:before="0" w:after="0"/>
      </w:pPr>
      <w:r>
        <w:rPr>
          <w:rFonts w:ascii="Times New Roman" w:hAnsi="Times New Roman"/>
          <w:b w:val="0"/>
          <w:sz w:val="24"/>
        </w:rPr>
        <w:t>курс: 2 курс</w:t>
      </w:r>
    </w:p>
    <w:p>
      <w:pPr>
        <w:spacing w:before="0" w:after="0"/>
      </w:pPr>
      <w:r>
        <w:rPr>
          <w:rFonts w:ascii="Times New Roman" w:hAnsi="Times New Roman"/>
          <w:b w:val="0"/>
          <w:sz w:val="24"/>
        </w:rPr>
        <w:t>Группа: С-21, С-22</w:t>
      </w:r>
    </w:p>
    <w:p>
      <w:pPr>
        <w:spacing w:before="0" w:after="0"/>
      </w:pPr>
      <w:r>
        <w:rPr>
          <w:rFonts w:ascii="Times New Roman" w:hAnsi="Times New Roman"/>
          <w:b w:val="0"/>
          <w:sz w:val="24"/>
        </w:rPr>
        <w:t>Преподаватель: Бардаков Д.Н.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  <w:r>
        <w:rPr>
          <w:rFonts w:ascii="Times New Roman" w:hAnsi="Times New Roman"/>
          <w:b w:val="0"/>
          <w:sz w:val="24"/>
        </w:rPr>
        <w:t>Рассмотрено на заседании цикловой комиссии технических дисциплин</w:t>
      </w:r>
    </w:p>
    <w:p>
      <w:pPr>
        <w:spacing w:before="0" w:after="0"/>
      </w:pPr>
      <w:r>
        <w:rPr>
          <w:rFonts w:ascii="Times New Roman" w:hAnsi="Times New Roman"/>
          <w:b w:val="0"/>
          <w:sz w:val="24"/>
        </w:rPr>
        <w:t>протокол № ___ от «___» ___________ 2026 г.</w:t>
      </w:r>
    </w:p>
    <w:p>
      <w:pPr>
        <w:spacing w:before="0" w:after="0"/>
      </w:pPr>
      <w:r>
        <w:rPr>
          <w:rFonts w:ascii="Times New Roman" w:hAnsi="Times New Roman"/>
          <w:b w:val="0"/>
          <w:sz w:val="24"/>
        </w:rPr>
        <w:t>председатель ______________ /А.Н. Ткаченко/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  <w:jc w:val="center"/>
      </w:pPr>
      <w:r>
        <w:rPr>
          <w:rFonts w:ascii="Times New Roman" w:hAnsi="Times New Roman"/>
          <w:b w:val="0"/>
          <w:sz w:val="24"/>
        </w:rPr>
        <w:t>г. Сальск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sz w:val="24"/>
        </w:rPr>
        <w:t>2026 г.</w:t>
      </w:r>
    </w:p>
    <w:p>
      <w:pPr>
        <w:pageBreakBefore/>
        <w:spacing w:before="0" w:after="0"/>
        <w:jc w:val="center"/>
      </w:pPr>
      <w:r>
        <w:rPr>
          <w:rFonts w:ascii="Times New Roman" w:hAnsi="Times New Roman"/>
          <w:b/>
          <w:sz w:val="24"/>
        </w:rPr>
        <w:t>Контроль знаний</w:t>
      </w:r>
    </w:p>
    <w:p>
      <w:pPr>
        <w:spacing w:before="0"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4"/>
        <w:gridCol w:w="4139"/>
        <w:gridCol w:w="2438"/>
        <w:gridCol w:w="2268"/>
      </w:tblGrid>
      <w:tr>
        <w:tc>
          <w:tcPr>
            <w:tcW w:type="dxa" w:w="79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№п/п</w:t>
            </w:r>
          </w:p>
        </w:tc>
        <w:tc>
          <w:tcPr>
            <w:tcW w:type="dxa" w:w="41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Контрольные работы, дифференцированный зачет, предусмотренные учебным планом.</w:t>
            </w:r>
          </w:p>
        </w:tc>
        <w:tc>
          <w:tcPr>
            <w:tcW w:type="dxa" w:w="243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Раздел, тема.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Сроки проведения (№ урока).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</w:t>
            </w:r>
          </w:p>
        </w:tc>
        <w:tc>
          <w:tcPr>
            <w:tcW w:type="dxa" w:w="4139"/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Экзамен по модулю</w:t>
            </w:r>
          </w:p>
        </w:tc>
        <w:tc>
          <w:tcPr>
            <w:tcW w:type="dxa" w:w="2438"/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ПМ.02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ПА.02</w:t>
            </w:r>
          </w:p>
        </w:tc>
      </w:tr>
    </w:tbl>
    <w:p>
      <w:pPr>
        <w:spacing w:before="0" w:after="0"/>
      </w:pP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В результате освоения профессионального модуля обучающийся должен: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/>
          <w:sz w:val="24"/>
        </w:rPr>
        <w:t>Иметь практический опыт (обязательная часть):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Выбора необходимых приборов и инструментов.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Определения пригодности приборов к использованию.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Проведения необходимой подготовки приборов к работе.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Определения необходимого объёма работ по проведению пусконаладочных работ приборов и систем автоматики в соответствии с заданием с соблюдением требований к качеству выполняемых работ.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Составления графика пуско-наладочных работ и последовательность пусконаладочных работ.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/>
          <w:sz w:val="24"/>
        </w:rPr>
        <w:t>Должен уметь (обязательная часть):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Читать схемы структур управления автоматическими линиями.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Передавать схемы промышленной автоматики, телемеханики, связи в эксплуатацию.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Передавать в эксплуатацию автоматизированные системы различной степени сложности на базе микропроцессорной техники.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Использовать тестовые программы для проведения пусконаладочных работ.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Проводить испытания на работоспособность смонтированных схем промышленной автоматики, телемеханики, связи, электронно-механических испытательных и электрогидравлических машин и стендов.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Оценивать качество результатов собственной деятельности.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Диагностировать электронные приборы с помощью тестовых программ и стендов.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Безопасно работать с приборами, системами автоматики.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Оформлять сдаточную документацию.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/>
          <w:sz w:val="24"/>
        </w:rPr>
        <w:t>Должен знать (обязательная часть):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Производственно-технологическая и нормативная документация, необходимая для выполнения работ.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Электроизмерительные приборы, их классификация, назначение и область применения (приборы для измерения давления, измерения расхода и количества, измерения уровня, измерения и контроля физико-механических параметров).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Классификация и состав оборудования станков с программным управлением.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Основные понятия автоматического управления станками.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Виды программного управления станками.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Состав оборудования, аппаратуру управления автоматическими линиями.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Классификация автоматических станочных систем.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Основные понятия о гибких автоматизированных производствах, технические характеристики промышленных роботов.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Виды систем управления роботами.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Состав оборудования, аппаратуры и приборов управления металлообрабатывающих комплексов.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Необходимые приборы, аппаратуру, инструменты, технологию вспомогательных наладочных работ со следящей аппаратурой и ее блоками.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Устройство диагностической аппаратуры, созданной на базе микропроцессорной техники.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Схема и принципы работы электронных устройств, подавляющих радиопомехи.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Схема и принципы работы "интеллектуальных" датчиков, ультразвуковых установок.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Назначение и характеристика пусконаладочных работ.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Способы наладки и технологию выполнения наладки контрольно-измерительных приборов.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Принципы наладки систем, приборы и аппаратуру, используемые при наладке.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Принципы наладки телевизионного и телеконтролирующего оборудования.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Технология наладки различных видов оборудования, входящих в состав металлообрабатывающих комплексов.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Виды, способы и последовательность испытаний автоматизированных систем.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Правила снятия характеристик при испытаниях.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Требования безопасности труда и бережливого производства при производстве пусконаладочных работ.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Нормы и правила пожарной безопасности при проведении наладочных работ.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Последовательность и требуемые характеристики сдачи выполненных работ.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Правила оформления сдаточной технической документации.</w:t>
      </w:r>
    </w:p>
    <w:p>
      <w:pPr>
        <w:spacing w:before="0" w:after="0"/>
      </w:pPr>
    </w:p>
    <w:p>
      <w:pPr>
        <w:pageBreakBefore/>
        <w:spacing w:before="0" w:after="0"/>
        <w:jc w:val="center"/>
      </w:pPr>
      <w:r>
        <w:rPr>
          <w:rFonts w:ascii="Times New Roman" w:hAnsi="Times New Roman"/>
          <w:b/>
          <w:sz w:val="24"/>
        </w:rPr>
        <w:t>Перечень практических работ</w:t>
      </w:r>
    </w:p>
    <w:p>
      <w:pPr>
        <w:spacing w:before="0"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28"/>
        <w:gridCol w:w="6123"/>
      </w:tblGrid>
      <w:tr>
        <w:tc>
          <w:tcPr>
            <w:tcW w:type="dxa" w:w="362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Наименование тем</w:t>
            </w:r>
          </w:p>
        </w:tc>
        <w:tc>
          <w:tcPr>
            <w:tcW w:type="dxa" w:w="61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Тема практической работы</w:t>
            </w:r>
          </w:p>
        </w:tc>
      </w:tr>
      <w:tr>
        <w:tc>
          <w:tcPr>
            <w:tcW w:type="dxa" w:w="9751"/>
            <w:gridSpan w:val="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МДК 02.01 Наладка приборов систем автоматики</w:t>
            </w:r>
          </w:p>
        </w:tc>
      </w:tr>
      <w:tr>
        <w:tc>
          <w:tcPr>
            <w:tcW w:type="dxa" w:w="3628"/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Тема 1.2 Пусконаладочные работы на объекте</w:t>
            </w:r>
          </w:p>
        </w:tc>
        <w:tc>
          <w:tcPr>
            <w:tcW w:type="dxa" w:w="6123"/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Практическое занятие № 1 Составление технической документации для организации электромонтажных работ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Практическое занятие № 2 Составление акта технической готовности электромонтажных работ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Практическое занятие № 3 Составление протокола о приемке электрооборудования после индивидуального испытания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Практическое занятие № 4 Составление акта функциональных (поузловых) испытаний электрооборудования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Практическое занятие № 5 Составление акта комплексной приемочной комиссии о готовности электрооборудования пускового комплекса к комплексному опробованию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Практическое занятие № 6 Оформление актов и протоколов испытаний при приемке электрооборудования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Практическое занятие № 7 Составление акта комплексной приемочной комиссии о готовности электрооборудования пускового комплекса к вводу объекта в промышленную эксплуатацию</w:t>
            </w:r>
          </w:p>
        </w:tc>
      </w:tr>
      <w:tr>
        <w:tc>
          <w:tcPr>
            <w:tcW w:type="dxa" w:w="9751"/>
            <w:gridSpan w:val="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МДК 02.02 Пусконаладка систем автоматики</w:t>
            </w:r>
          </w:p>
        </w:tc>
      </w:tr>
      <w:tr>
        <w:tc>
          <w:tcPr>
            <w:tcW w:type="dxa" w:w="3628"/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Тема 1.3 Системы автоматического управления</w:t>
            </w:r>
          </w:p>
        </w:tc>
        <w:tc>
          <w:tcPr>
            <w:tcW w:type="dxa" w:w="6123"/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Практическое занятие № 1 Динамическое компьютерное моделирование ХТС - емкость, насос, трубопроводы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Практическое занятие № 2 Моделирование и исследование на ПЭВМ типовых звеньев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Практическое занятие № 3 Получение передаточных функций сложных систем соединений звеньев. Эквивалентные преобразования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Практическое занятие № 4 Проверка пневматического ПИ - регулятора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Практическое занятие № 5 Расчет исполнительного устройства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Практическое занятие № 6 Исследование САР температуры</w:t>
            </w:r>
          </w:p>
        </w:tc>
      </w:tr>
      <w:tr>
        <w:tc>
          <w:tcPr>
            <w:tcW w:type="dxa" w:w="3628"/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Тема 1.4 Системы автоматического проектирования</w:t>
            </w:r>
          </w:p>
        </w:tc>
        <w:tc>
          <w:tcPr>
            <w:tcW w:type="dxa" w:w="6123"/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Практическое занятие № 1 Организация интерфейса пакета MS Visio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Практическое занятие № 2 Анатомия фигуры в MS Visio. Форматирование фигуры в MS Visio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Практическое занятие № 3 Форматирование фигуры в MS Visio. Связывание фигур в MS Visio.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Практическое занятие № 4 Создание организационных схем и диаграмм в MS Visio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Практическое занятие № 5 Разработка мнемосхемы предметной области с MicrosoftVisio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Практическое занятие № 6 Схемы визуального моделирования в MicrosoftVisiо</w:t>
            </w:r>
          </w:p>
        </w:tc>
      </w:tr>
      <w:tr>
        <w:tc>
          <w:tcPr>
            <w:tcW w:type="dxa" w:w="9751"/>
            <w:gridSpan w:val="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Вид контроля  3 семестр                          Экзамен по модулю</w:t>
            </w:r>
          </w:p>
        </w:tc>
      </w:tr>
    </w:tbl>
    <w:p>
      <w:pPr>
        <w:spacing w:before="0" w:after="0"/>
      </w:pPr>
    </w:p>
    <w:p>
      <w:pPr>
        <w:pageBreakBefore/>
        <w:spacing w:before="0" w:after="0"/>
        <w:jc w:val="center"/>
      </w:pPr>
      <w:r>
        <w:rPr>
          <w:rFonts w:ascii="Times New Roman" w:hAnsi="Times New Roman"/>
          <w:b/>
          <w:sz w:val="24"/>
        </w:rPr>
        <w:t>Вопросы к экзамену по модулю</w:t>
      </w:r>
    </w:p>
    <w:p>
      <w:pPr>
        <w:spacing w:before="0" w:after="0"/>
      </w:pPr>
    </w:p>
    <w:p>
      <w:pPr>
        <w:tabs>
          <w:tab w:pos="709" w:val="left"/>
        </w:tabs>
        <w:spacing w:before="0" w:after="0"/>
        <w:ind w:left="709" w:hanging="709"/>
        <w:jc w:val="both"/>
      </w:pPr>
      <w:r>
        <w:rPr>
          <w:rFonts w:ascii="Times New Roman" w:hAnsi="Times New Roman"/>
          <w:sz w:val="24"/>
        </w:rPr>
        <w:t>1.</w:t>
        <w:tab/>
        <w:t>Правила выполнения рабочей документации автоматизации технологических процессов (ГОСТ 21.408–2013).</w:t>
      </w:r>
    </w:p>
    <w:p>
      <w:pPr>
        <w:tabs>
          <w:tab w:pos="709" w:val="left"/>
        </w:tabs>
        <w:spacing w:before="0" w:after="0"/>
        <w:ind w:left="709" w:hanging="709"/>
        <w:jc w:val="both"/>
      </w:pPr>
      <w:r>
        <w:rPr>
          <w:rFonts w:ascii="Times New Roman" w:hAnsi="Times New Roman"/>
          <w:sz w:val="24"/>
        </w:rPr>
        <w:t>2.</w:t>
        <w:tab/>
        <w:t>Метрологическое обеспечение испытаний продукции для целей подтверждения соответствия.</w:t>
      </w:r>
    </w:p>
    <w:p>
      <w:pPr>
        <w:tabs>
          <w:tab w:pos="709" w:val="left"/>
        </w:tabs>
        <w:spacing w:before="0" w:after="0"/>
        <w:ind w:left="709" w:hanging="709"/>
        <w:jc w:val="both"/>
      </w:pPr>
      <w:r>
        <w:rPr>
          <w:rFonts w:ascii="Times New Roman" w:hAnsi="Times New Roman"/>
          <w:sz w:val="24"/>
        </w:rPr>
        <w:t>3.</w:t>
        <w:tab/>
        <w:t>Состав оборудования станков с программным управлением, применяемые приводы, преобразователи, датчики.</w:t>
      </w:r>
    </w:p>
    <w:p>
      <w:pPr>
        <w:tabs>
          <w:tab w:pos="709" w:val="left"/>
        </w:tabs>
        <w:spacing w:before="0" w:after="0"/>
        <w:ind w:left="709" w:hanging="709"/>
        <w:jc w:val="both"/>
      </w:pPr>
      <w:r>
        <w:rPr>
          <w:rFonts w:ascii="Times New Roman" w:hAnsi="Times New Roman"/>
          <w:sz w:val="24"/>
        </w:rPr>
        <w:t>4.</w:t>
        <w:tab/>
        <w:t>Виды программного управления станками, способы подготовки и ввода управляющей программы.</w:t>
      </w:r>
    </w:p>
    <w:p>
      <w:pPr>
        <w:tabs>
          <w:tab w:pos="709" w:val="left"/>
        </w:tabs>
        <w:spacing w:before="0" w:after="0"/>
        <w:ind w:left="709" w:hanging="709"/>
        <w:jc w:val="both"/>
      </w:pPr>
      <w:r>
        <w:rPr>
          <w:rFonts w:ascii="Times New Roman" w:hAnsi="Times New Roman"/>
          <w:sz w:val="24"/>
        </w:rPr>
        <w:t>5.</w:t>
        <w:tab/>
        <w:t>Классификация автоматических станочных систем различного назначения.</w:t>
      </w:r>
    </w:p>
    <w:p>
      <w:pPr>
        <w:tabs>
          <w:tab w:pos="709" w:val="left"/>
        </w:tabs>
        <w:spacing w:before="0" w:after="0"/>
        <w:ind w:left="709" w:hanging="709"/>
        <w:jc w:val="both"/>
      </w:pPr>
      <w:r>
        <w:rPr>
          <w:rFonts w:ascii="Times New Roman" w:hAnsi="Times New Roman"/>
          <w:sz w:val="24"/>
        </w:rPr>
        <w:t>6.</w:t>
        <w:tab/>
        <w:t>Диагностическое оборудование, приборы и инструменты для наладочных работ со следящей аппаратурой.</w:t>
      </w:r>
    </w:p>
    <w:p>
      <w:pPr>
        <w:tabs>
          <w:tab w:pos="709" w:val="left"/>
        </w:tabs>
        <w:spacing w:before="0" w:after="0"/>
        <w:ind w:left="709" w:hanging="709"/>
        <w:jc w:val="both"/>
      </w:pPr>
      <w:r>
        <w:rPr>
          <w:rFonts w:ascii="Times New Roman" w:hAnsi="Times New Roman"/>
          <w:sz w:val="24"/>
        </w:rPr>
        <w:t>7.</w:t>
        <w:tab/>
        <w:t>Структурная и принципиальная схема «интеллектуальных» датчиков, ультразвуковых установок.</w:t>
      </w:r>
    </w:p>
    <w:p>
      <w:pPr>
        <w:tabs>
          <w:tab w:pos="709" w:val="left"/>
        </w:tabs>
        <w:spacing w:before="0" w:after="0"/>
        <w:ind w:left="709" w:hanging="709"/>
        <w:jc w:val="both"/>
      </w:pPr>
      <w:r>
        <w:rPr>
          <w:rFonts w:ascii="Times New Roman" w:hAnsi="Times New Roman"/>
          <w:sz w:val="24"/>
        </w:rPr>
        <w:t>8.</w:t>
        <w:tab/>
        <w:t>Техническая документация приборов для измерения электрических величин, давления, расхода и уровня.</w:t>
      </w:r>
    </w:p>
    <w:p>
      <w:pPr>
        <w:tabs>
          <w:tab w:pos="709" w:val="left"/>
        </w:tabs>
        <w:spacing w:before="0" w:after="0"/>
        <w:ind w:left="709" w:hanging="709"/>
        <w:jc w:val="both"/>
      </w:pPr>
      <w:r>
        <w:rPr>
          <w:rFonts w:ascii="Times New Roman" w:hAnsi="Times New Roman"/>
          <w:sz w:val="24"/>
        </w:rPr>
        <w:t>9.</w:t>
        <w:tab/>
        <w:t>Техническая документация приборов измерения и контроля вибрации.</w:t>
      </w:r>
    </w:p>
    <w:p>
      <w:pPr>
        <w:tabs>
          <w:tab w:pos="709" w:val="left"/>
        </w:tabs>
        <w:spacing w:before="0" w:after="0"/>
        <w:ind w:left="709" w:hanging="709"/>
        <w:jc w:val="both"/>
      </w:pPr>
      <w:r>
        <w:rPr>
          <w:rFonts w:ascii="Times New Roman" w:hAnsi="Times New Roman"/>
          <w:sz w:val="24"/>
        </w:rPr>
        <w:t>10.</w:t>
        <w:tab/>
        <w:t>Техническая документация микропроцессорных систем автоматики.</w:t>
      </w:r>
    </w:p>
    <w:p>
      <w:pPr>
        <w:tabs>
          <w:tab w:pos="709" w:val="left"/>
        </w:tabs>
        <w:spacing w:before="0" w:after="0"/>
        <w:ind w:left="709" w:hanging="709"/>
        <w:jc w:val="both"/>
      </w:pPr>
      <w:r>
        <w:rPr>
          <w:rFonts w:ascii="Times New Roman" w:hAnsi="Times New Roman"/>
          <w:sz w:val="24"/>
        </w:rPr>
        <w:t>11.</w:t>
        <w:tab/>
        <w:t>Организационная структура выполнения пусконаладочных работ и функции участников.</w:t>
      </w:r>
    </w:p>
    <w:p>
      <w:pPr>
        <w:tabs>
          <w:tab w:pos="709" w:val="left"/>
        </w:tabs>
        <w:spacing w:before="0" w:after="0"/>
        <w:ind w:left="709" w:hanging="709"/>
        <w:jc w:val="both"/>
      </w:pPr>
      <w:r>
        <w:rPr>
          <w:rFonts w:ascii="Times New Roman" w:hAnsi="Times New Roman"/>
          <w:sz w:val="24"/>
        </w:rPr>
        <w:t>12.</w:t>
        <w:tab/>
        <w:t>Поузловая приёмка и испытания конструктивных и технологических узлов.</w:t>
      </w:r>
    </w:p>
    <w:p>
      <w:pPr>
        <w:tabs>
          <w:tab w:pos="709" w:val="left"/>
        </w:tabs>
        <w:spacing w:before="0" w:after="0"/>
        <w:ind w:left="709" w:hanging="709"/>
        <w:jc w:val="both"/>
      </w:pPr>
      <w:r>
        <w:rPr>
          <w:rFonts w:ascii="Times New Roman" w:hAnsi="Times New Roman"/>
          <w:sz w:val="24"/>
        </w:rPr>
        <w:t>13.</w:t>
        <w:tab/>
        <w:t>Индивидуальные испытания приборов измерения качества технологических жидкостей и материалов.</w:t>
      </w:r>
    </w:p>
    <w:p>
      <w:pPr>
        <w:tabs>
          <w:tab w:pos="709" w:val="left"/>
        </w:tabs>
        <w:spacing w:before="0" w:after="0"/>
        <w:ind w:left="709" w:hanging="709"/>
        <w:jc w:val="both"/>
      </w:pPr>
      <w:r>
        <w:rPr>
          <w:rFonts w:ascii="Times New Roman" w:hAnsi="Times New Roman"/>
          <w:sz w:val="24"/>
        </w:rPr>
        <w:t>14.</w:t>
        <w:tab/>
        <w:t>Индивидуальные испытания системы автоматического пожаротушения и видеонаблюдения.</w:t>
      </w:r>
    </w:p>
    <w:p>
      <w:pPr>
        <w:tabs>
          <w:tab w:pos="709" w:val="left"/>
        </w:tabs>
        <w:spacing w:before="0" w:after="0"/>
        <w:ind w:left="709" w:hanging="709"/>
        <w:jc w:val="both"/>
      </w:pPr>
      <w:r>
        <w:rPr>
          <w:rFonts w:ascii="Times New Roman" w:hAnsi="Times New Roman"/>
          <w:sz w:val="24"/>
        </w:rPr>
        <w:t>15.</w:t>
        <w:tab/>
        <w:t>Индивидуальные испытания систем автоматического регулирования давления; источники бесперебойного питания.</w:t>
      </w:r>
    </w:p>
    <w:p>
      <w:pPr>
        <w:tabs>
          <w:tab w:pos="709" w:val="left"/>
        </w:tabs>
        <w:spacing w:before="0" w:after="0"/>
        <w:ind w:left="709" w:hanging="709"/>
        <w:jc w:val="both"/>
      </w:pPr>
      <w:r>
        <w:rPr>
          <w:rFonts w:ascii="Times New Roman" w:hAnsi="Times New Roman"/>
          <w:sz w:val="24"/>
        </w:rPr>
        <w:t>16.</w:t>
        <w:tab/>
        <w:t>Диагностика параметров генераторов электрической энергии аварийного питания.</w:t>
      </w:r>
    </w:p>
    <w:p>
      <w:pPr>
        <w:tabs>
          <w:tab w:pos="709" w:val="left"/>
        </w:tabs>
        <w:spacing w:before="0" w:after="0"/>
        <w:ind w:left="709" w:hanging="709"/>
        <w:jc w:val="both"/>
      </w:pPr>
      <w:r>
        <w:rPr>
          <w:rFonts w:ascii="Times New Roman" w:hAnsi="Times New Roman"/>
          <w:sz w:val="24"/>
        </w:rPr>
        <w:t>17.</w:t>
        <w:tab/>
        <w:t>Наладка оборудования измерения и контроля температуры и уровня; пробные пуски.</w:t>
      </w:r>
    </w:p>
    <w:p>
      <w:pPr>
        <w:tabs>
          <w:tab w:pos="709" w:val="left"/>
        </w:tabs>
        <w:spacing w:before="0" w:after="0"/>
        <w:ind w:left="709" w:hanging="709"/>
        <w:jc w:val="both"/>
      </w:pPr>
      <w:r>
        <w:rPr>
          <w:rFonts w:ascii="Times New Roman" w:hAnsi="Times New Roman"/>
          <w:sz w:val="24"/>
        </w:rPr>
        <w:t>18.</w:t>
        <w:tab/>
        <w:t>Основные понятия и определения: процессы, сигналы, исполнительные механизмы, датчики, каналы связи.</w:t>
      </w:r>
    </w:p>
    <w:p>
      <w:pPr>
        <w:tabs>
          <w:tab w:pos="709" w:val="left"/>
        </w:tabs>
        <w:spacing w:before="0" w:after="0"/>
        <w:ind w:left="709" w:hanging="709"/>
        <w:jc w:val="both"/>
      </w:pPr>
      <w:r>
        <w:rPr>
          <w:rFonts w:ascii="Times New Roman" w:hAnsi="Times New Roman"/>
          <w:sz w:val="24"/>
        </w:rPr>
        <w:t>19.</w:t>
        <w:tab/>
        <w:t>Системы автоматического регулирования: принципы регулирования, устойчивость, характеристики.</w:t>
      </w:r>
    </w:p>
    <w:p>
      <w:pPr>
        <w:tabs>
          <w:tab w:pos="709" w:val="left"/>
        </w:tabs>
        <w:spacing w:before="0" w:after="0"/>
        <w:ind w:left="709" w:hanging="709"/>
        <w:jc w:val="both"/>
      </w:pPr>
      <w:r>
        <w:rPr>
          <w:rFonts w:ascii="Times New Roman" w:hAnsi="Times New Roman"/>
          <w:sz w:val="24"/>
        </w:rPr>
        <w:t>20.</w:t>
        <w:tab/>
        <w:t>Логарифмические частотные характеристики; типовые элементарные звенья.</w:t>
      </w:r>
    </w:p>
    <w:p>
      <w:pPr>
        <w:tabs>
          <w:tab w:pos="709" w:val="left"/>
        </w:tabs>
        <w:spacing w:before="0" w:after="0"/>
        <w:ind w:left="709" w:hanging="709"/>
        <w:jc w:val="both"/>
      </w:pPr>
      <w:r>
        <w:rPr>
          <w:rFonts w:ascii="Times New Roman" w:hAnsi="Times New Roman"/>
          <w:sz w:val="24"/>
        </w:rPr>
        <w:t>21.</w:t>
        <w:tab/>
        <w:t>Техническое обеспечение систем автоматического регулирования; микропроцессорные системы.</w:t>
      </w:r>
    </w:p>
    <w:p>
      <w:pPr>
        <w:tabs>
          <w:tab w:pos="709" w:val="left"/>
        </w:tabs>
        <w:spacing w:before="0" w:after="0"/>
        <w:ind w:left="709" w:hanging="709"/>
        <w:jc w:val="both"/>
      </w:pPr>
      <w:r>
        <w:rPr>
          <w:rFonts w:ascii="Times New Roman" w:hAnsi="Times New Roman"/>
          <w:sz w:val="24"/>
        </w:rPr>
        <w:t>22.</w:t>
        <w:tab/>
        <w:t>Назначение САПР и ЕСКД в системе государственной стандартизации; виды документов.</w:t>
      </w:r>
    </w:p>
    <w:p>
      <w:pPr>
        <w:tabs>
          <w:tab w:pos="709" w:val="left"/>
        </w:tabs>
        <w:spacing w:before="0" w:after="0"/>
        <w:ind w:left="709" w:hanging="709"/>
        <w:jc w:val="both"/>
      </w:pPr>
      <w:r>
        <w:rPr>
          <w:rFonts w:ascii="Times New Roman" w:hAnsi="Times New Roman"/>
          <w:sz w:val="24"/>
        </w:rPr>
        <w:t>23.</w:t>
        <w:tab/>
        <w:t>Форматирование фигуры, текстовые элементы и связывание фигур в MS Visio.</w:t>
      </w:r>
    </w:p>
    <w:p>
      <w:pPr>
        <w:tabs>
          <w:tab w:pos="709" w:val="left"/>
        </w:tabs>
        <w:spacing w:before="0" w:after="0"/>
        <w:ind w:left="709" w:hanging="709"/>
        <w:jc w:val="both"/>
      </w:pPr>
      <w:r>
        <w:rPr>
          <w:rFonts w:ascii="Times New Roman" w:hAnsi="Times New Roman"/>
          <w:sz w:val="24"/>
        </w:rPr>
        <w:t>24.</w:t>
        <w:tab/>
        <w:t>Создание организационных схем и диаграмм; разработка мнемосхемы в MS Visio.</w:t>
      </w:r>
    </w:p>
    <w:p>
      <w:pPr>
        <w:tabs>
          <w:tab w:pos="709" w:val="left"/>
        </w:tabs>
        <w:spacing w:before="0" w:after="0"/>
        <w:ind w:left="709" w:hanging="709"/>
        <w:jc w:val="both"/>
      </w:pPr>
      <w:r>
        <w:rPr>
          <w:rFonts w:ascii="Times New Roman" w:hAnsi="Times New Roman"/>
          <w:sz w:val="24"/>
        </w:rPr>
        <w:t>25.</w:t>
        <w:tab/>
        <w:t>Схемы визуального моделирования в MS Visio; назначение системы КОМПАС.</w:t>
      </w:r>
    </w:p>
    <w:p>
      <w:pPr>
        <w:tabs>
          <w:tab w:pos="709" w:val="left"/>
        </w:tabs>
        <w:spacing w:before="0" w:after="0"/>
        <w:ind w:left="709" w:hanging="709"/>
        <w:jc w:val="both"/>
      </w:pPr>
      <w:r>
        <w:rPr>
          <w:rFonts w:ascii="Times New Roman" w:hAnsi="Times New Roman"/>
          <w:sz w:val="24"/>
        </w:rPr>
        <w:t>26.</w:t>
        <w:tab/>
        <w:t>Типы линий, чертежные шрифты, инструментальная панель КОМПАС.</w:t>
      </w:r>
    </w:p>
    <w:p>
      <w:pPr>
        <w:tabs>
          <w:tab w:pos="709" w:val="left"/>
        </w:tabs>
        <w:spacing w:before="0" w:after="0"/>
        <w:ind w:left="709" w:hanging="709"/>
        <w:jc w:val="both"/>
      </w:pPr>
      <w:r>
        <w:rPr>
          <w:rFonts w:ascii="Times New Roman" w:hAnsi="Times New Roman"/>
          <w:sz w:val="24"/>
        </w:rPr>
        <w:t>27.</w:t>
        <w:tab/>
        <w:t>Построение сопряжений и нанесение размеров; создание 3D-модели в КОМПАС 3D.</w:t>
      </w:r>
    </w:p>
    <w:p>
      <w:pPr>
        <w:spacing w:before="0" w:after="0"/>
      </w:pPr>
    </w:p>
    <w:p>
      <w:pPr>
        <w:pageBreakBefore/>
        <w:spacing w:before="0" w:after="0"/>
        <w:jc w:val="center"/>
      </w:pPr>
      <w:r>
        <w:rPr>
          <w:rFonts w:ascii="Times New Roman" w:hAnsi="Times New Roman"/>
          <w:b/>
          <w:sz w:val="24"/>
        </w:rPr>
        <w:t>КРИТЕРИИ ОЦЕНКИ ЗНАНИЙ СТУДЕНТОВ</w:t>
      </w:r>
    </w:p>
    <w:p>
      <w:pPr>
        <w:spacing w:before="0" w:after="0"/>
      </w:pP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Оценка – это определение степени усвоения обучаемыми знаний, умений и навыков в соответствии с требованиями программ обучения и руководящими документами обучения.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«ОТЛИЧНО» - ставится в том случае, если обучаемый глубоко изучил учебный материал и литературу по проблеме, последовательно и исчерпывающе отвечает на поставленные вопросы, а при выполнении практической работы – если задание выполнено правильно и в установленное нормативом время (при отсутствии нормативов – уверенно и быстро).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«ХОРОШО» - ставится тогда, когда обучаемый твердо знает материал и отвечает без наводящих вопросов, разбирается в литературе по проблеме, а при выполнении практической работы – если задание выполнено правильно.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«УДОВЛЕТВОРИТЕЛЬНО» - ставится при условии, если обучаемый знает лишь основной материал, путается в литературе по проблеме, а на заданные вопросы отвечает недостаточно четко и полно, а при выполнении практической работы – если задание выполнено, но допускались ошибки, не отразившиеся на качестве выполненной работы.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«НЕУДОВЛЕТВОРИТЕЛЬНО» - ставится в том случае, когда обучаемый не смог достаточно полно и правильно ответить на поставленные вопросы, не знает литературы по проблеме, а при выполнении практической работы – если задание не сделано или допущены ошибки, влияющие на качество выполненной работы.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Требования к оценке: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- оценка должна быть объективной и справедливой, ясной и понятной для обучаемого,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- оценка должна выполнять стимулирующую функцию,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- оценка должна быть всесторонней.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При оценке знаний учитывается: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- объем знаний по учебному предмету (вопросу),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- понимание изученного, самостоятельность суждений, убежденность в излагаемом,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- степень систематизации и глубины знаний,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- действенность знаний, умение применять их с целью решения практических задач.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При оценке навыков и умений учитываются: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- содержание навыков и умений,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- точность, прочность, гибкость навыков и умений,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- возможность применять навыки и умения на практике,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- наличие ошибок, их количество, характер и влияние на работу.</w:t>
      </w:r>
    </w:p>
    <w:p>
      <w:pPr>
        <w:spacing w:before="0" w:after="0"/>
      </w:pPr>
    </w:p>
    <w:p>
      <w:pPr>
        <w:pageBreakBefore/>
        <w:spacing w:before="0" w:after="0"/>
        <w:jc w:val="center"/>
      </w:pPr>
      <w:r>
        <w:rPr>
          <w:rFonts w:ascii="Times New Roman" w:hAnsi="Times New Roman"/>
          <w:b w:val="0"/>
          <w:sz w:val="24"/>
        </w:rPr>
        <w:t>Студенты группы С-21 ознакомлены с материалами промежуточной аттестации:</w:t>
      </w:r>
    </w:p>
    <w:p>
      <w:pPr>
        <w:spacing w:before="0"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4422"/>
        <w:gridCol w:w="2324"/>
        <w:gridCol w:w="2891"/>
      </w:tblGrid>
      <w:tr>
        <w:tc>
          <w:tcPr>
            <w:tcW w:type="dxa" w:w="56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442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ФИО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Дата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Подпись</w:t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42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324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891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42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324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891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42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324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891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42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324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891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42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324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891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42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324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891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42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324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891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42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324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891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42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324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891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42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324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891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42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324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891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42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324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891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42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324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891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42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324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891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42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324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891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42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324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891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42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324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891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42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324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891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42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324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891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42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324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891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42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324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891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42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324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891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42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324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891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42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324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891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42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324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891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</w:tbl>
    <w:p>
      <w:pPr>
        <w:spacing w:before="0" w:after="0"/>
      </w:pPr>
    </w:p>
    <w:p>
      <w:pPr>
        <w:spacing w:before="0" w:after="0"/>
        <w:jc w:val="center"/>
      </w:pPr>
      <w:r>
        <w:rPr>
          <w:rFonts w:ascii="Times New Roman" w:hAnsi="Times New Roman"/>
          <w:b w:val="0"/>
          <w:sz w:val="24"/>
        </w:rPr>
        <w:t>Преподаватель ____________________ Бардаков Д.Н.</w:t>
      </w:r>
    </w:p>
    <w:p>
      <w:pPr>
        <w:spacing w:before="0" w:after="0"/>
      </w:pPr>
    </w:p>
    <w:p>
      <w:pPr>
        <w:spacing w:before="0" w:after="0"/>
      </w:pPr>
    </w:p>
    <w:p>
      <w:pPr>
        <w:pageBreakBefore/>
        <w:spacing w:before="0" w:after="0"/>
        <w:jc w:val="center"/>
      </w:pPr>
      <w:r>
        <w:rPr>
          <w:rFonts w:ascii="Times New Roman" w:hAnsi="Times New Roman"/>
          <w:b w:val="0"/>
          <w:sz w:val="24"/>
        </w:rPr>
        <w:t>Студенты группы С-22 ознакомлены с материалами промежуточной аттестации:</w:t>
      </w:r>
    </w:p>
    <w:p>
      <w:pPr>
        <w:spacing w:before="0"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4422"/>
        <w:gridCol w:w="2324"/>
        <w:gridCol w:w="2891"/>
      </w:tblGrid>
      <w:tr>
        <w:tc>
          <w:tcPr>
            <w:tcW w:type="dxa" w:w="56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442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ФИО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Дата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Подпись</w:t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42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324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891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42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324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891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42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324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891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42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324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891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42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324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891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42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324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891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42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324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891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42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324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891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42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324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891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42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324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891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42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324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891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42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324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891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42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324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891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42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324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891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42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324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891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42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324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891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42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324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891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42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324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891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42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324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891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42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324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891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42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324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891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42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324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891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42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324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891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42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324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891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42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324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891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</w:tbl>
    <w:p>
      <w:pPr>
        <w:spacing w:before="0" w:after="0"/>
      </w:pPr>
    </w:p>
    <w:p>
      <w:pPr>
        <w:spacing w:before="0" w:after="0"/>
        <w:jc w:val="center"/>
      </w:pPr>
      <w:r>
        <w:rPr>
          <w:rFonts w:ascii="Times New Roman" w:hAnsi="Times New Roman"/>
          <w:b w:val="0"/>
          <w:sz w:val="24"/>
        </w:rPr>
        <w:t>Преподаватель ____________________ Бардаков Д.Н.</w:t>
      </w:r>
    </w:p>
    <w:sectPr w:rsidR="00FC693F" w:rsidRPr="0006063C" w:rsidSect="00034616">
      <w:pgSz w:w="11906" w:h="16838"/>
      <w:pgMar w:top="567" w:right="850" w:bottom="73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