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С-21</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02.01 Наладка приборов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36</w:t>
      </w:r>
      <w:r>
        <w:rPr>
          <w:rFonts w:ascii="Times New Roman" w:hAnsi="Times New Roman" w:eastAsia="Times New Roman" w:cs="Times New Roman"/>
          <w:b w:val="0"/>
          <w:sz w:val="24"/>
          <w:u w:val="none"/>
        </w:rPr>
        <w:t>___ (часов);                    практические занятия 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rPr>
          <w:trHeight w:val="219"/>
        </w:trP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rPr>
          <w:trHeight w:val="234"/>
        </w:trP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rPr>
          <w:trHeight w:val="1758"/>
        </w:trP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rPr>
          <w:trHeight w:val="237"/>
        </w:trP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МДК 02.01</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36</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xmlns:ns2="http://schemas.microsoft.com/office/word/2010/wordml" xmlns:a="http://schemas.openxmlformats.org/drawingml/2006/main" xmlns:ns4="http://schemas.microsoft.com/office/word/2010/wordprocessingDrawing" xmlns:ns7="http://schemas.microsoft.com/office/drawing/2010/main" xmlns:o="urn:schemas-microsoft-com:office:office" xmlns:v="urn:schemas-microsoft-com:vml" xmlns:wp="http://schemas.openxmlformats.org/drawingml/2006/wordprocessingDrawing" xmlns:wps="http://schemas.microsoft.com/office/word/2010/wordprocessingShape" w:rsidR="000355C4" w:rsidRPr="00F65D3C" ns2:paraId="5D6EF380" ns2:textId="77777777">
        <w:trPr>
          <w:trHeight w:val="215"/>
        </w:trPr>
        <w:tc>
          <w:tcPr>
            <w:tcW w:w="1277" w:type="dxa"/>
          </w:tcPr>
          <w:p ns2:paraId="7E077CEB" ns2:textId="2CBE32E4" w:rsidR="000355C4" w:rsidRPr="000355C4" w:rsidRDefault="00B43A5C" w:rsidP="00B43A5C">
            <w:pPr>
              <w:spacing w:after="120" w:line="240" w:lineRule="auto"/>
              <w:jc w:val="center"/>
              <w:rPr>
                <w:rFonts w:ascii="Times New Roman" w:hAnsi="Times New Roman"/>
                <w:b/>
                <w:sz w:val="20"/>
                <w:szCs w:val="20"/>
              </w:rPr>
            </w:pPr>
            <w:proofErr w:type="spellStart"/>
            <w:r w:rsidRPr="00B43A5C">
              <w:rPr>
                <w:rFonts w:ascii="Times New Roman" w:hAnsi="Times New Roman"/>
                <w:b/>
                <w:sz w:val="20"/>
                <w:szCs w:val="20"/>
              </w:rPr>
              <w:t>Компл</w:t>
            </w:r>
            <w:proofErr w:type="spellEnd"/>
            <w:r>
              <w:rPr>
                <w:rFonts w:ascii="Times New Roman" w:hAnsi="Times New Roman"/>
                <w:b/>
                <w:sz w:val="20"/>
                <w:szCs w:val="20"/>
              </w:rPr>
              <w:t xml:space="preserve">. </w:t>
            </w:r>
            <w:proofErr w:type="spellStart"/>
            <w:r>
              <w:rPr>
                <w:rFonts w:ascii="Times New Roman" w:hAnsi="Times New Roman"/>
                <w:b/>
                <w:sz w:val="20"/>
                <w:szCs w:val="20"/>
              </w:rPr>
              <w:t>дифф</w:t>
            </w:r>
            <w:proofErr w:type="spellEnd"/>
            <w:r>
              <w:rPr>
                <w:rFonts w:ascii="Times New Roman" w:hAnsi="Times New Roman"/>
                <w:b/>
                <w:sz w:val="20"/>
                <w:szCs w:val="20"/>
              </w:rPr>
              <w:t>.</w:t>
            </w:r>
            <w:r w:rsidRPr="00B43A5C">
              <w:rPr>
                <w:rFonts w:ascii="Times New Roman" w:hAnsi="Times New Roman"/>
                <w:b/>
                <w:sz w:val="20"/>
                <w:szCs w:val="20"/>
              </w:rPr>
              <w:t xml:space="preserve"> зачет</w:t>
            </w:r>
          </w:p>
        </w:tc>
        <w:tc>
          <w:tcPr>
            <w:tcW w:w="567" w:type="dxa"/>
          </w:tcPr>
          <w:p ns2:paraId="00503E55" ns2:textId="5476478E" w:rsidR="000355C4" w:rsidRPr="000355C4" w:rsidRDefault="000355C4" w:rsidP="000355C4">
            <w:pPr>
              <w:spacing w:after="120" w:line="240" w:lineRule="auto"/>
              <w:jc w:val="center"/>
              <w:rPr>
                <w:rFonts w:ascii="Times New Roman" w:hAnsi="Times New Roman"/>
                <w:b/>
                <w:sz w:val="20"/>
                <w:szCs w:val="20"/>
              </w:rPr>
            </w:pPr>
          </w:p>
        </w:tc>
        <w:tc>
          <w:tcPr>
            <w:tcW w:w="567" w:type="dxa"/>
          </w:tcPr>
          <w:p ns2:paraId="2173F934" ns2:textId="4363530F" w:rsidR="000355C4" w:rsidRPr="000355C4" w:rsidRDefault="000355C4" w:rsidP="000355C4">
            <w:pPr>
              <w:spacing w:after="120" w:line="240" w:lineRule="auto"/>
              <w:jc w:val="center"/>
              <w:rPr>
                <w:rFonts w:ascii="Times New Roman" w:hAnsi="Times New Roman"/>
                <w:b/>
                <w:sz w:val="20"/>
                <w:szCs w:val="20"/>
              </w:rPr>
            </w:pPr>
          </w:p>
        </w:tc>
        <w:tc>
          <w:tcPr>
            <w:tcW w:w="1153" w:type="dxa"/>
            <w:tcBorders>
              <w:right w:val="single" w:sz="4" w:space="0" w:color="auto"/>
            </w:tcBorders>
          </w:tcPr>
          <w:p ns2:paraId="792C0DD0" ns2:textId="3F5F3AE6" w:rsidR="000355C4" w:rsidRPr="000355C4" w:rsidRDefault="000355C4" w:rsidP="000355C4">
            <w:pPr>
              <w:spacing w:after="120" w:line="240" w:lineRule="auto"/>
              <w:jc w:val="center"/>
              <w:rPr>
                <w:rFonts w:ascii="Times New Roman" w:hAnsi="Times New Roman"/>
                <w:b/>
                <w:sz w:val="20"/>
                <w:szCs w:val="20"/>
              </w:rPr>
            </w:pPr>
          </w:p>
        </w:tc>
        <w:tc>
          <w:tcPr>
            <w:tcW w:w="664" w:type="dxa"/>
            <w:tcBorders>
              <w:left w:val="single" w:sz="4" w:space="0" w:color="auto"/>
            </w:tcBorders>
          </w:tcPr>
          <w:p ns2:paraId="2A1AEF8E" ns2:textId="12F4409B" w:rsidR="000355C4" w:rsidRPr="000355C4" w:rsidRDefault="000355C4" w:rsidP="000355C4">
            <w:pPr>
              <w:spacing w:after="120" w:line="240" w:lineRule="auto"/>
              <w:jc w:val="center"/>
              <w:rPr>
                <w:rFonts w:ascii="Times New Roman" w:hAnsi="Times New Roman"/>
                <w:b/>
                <w:sz w:val="20"/>
                <w:szCs w:val="20"/>
              </w:rPr>
            </w:pPr>
          </w:p>
        </w:tc>
        <w:tc>
          <w:tcPr>
            <w:tcW w:w="851" w:type="dxa"/>
          </w:tcPr>
          <w:p ns2:paraId="6664F253" ns2:textId="17B310C6" w:rsidR="000355C4" w:rsidRPr="000355C4" w:rsidRDefault="00B43A5C" w:rsidP="000355C4">
            <w:pPr>
              <w:spacing w:after="120" w:line="240" w:lineRule="auto"/>
              <w:jc w:val="center"/>
              <w:rPr>
                <w:rFonts w:ascii="Times New Roman" w:hAnsi="Times New Roman"/>
                <w:b/>
                <w:sz w:val="20"/>
                <w:szCs w:val="20"/>
              </w:rPr>
            </w:pPr>
            <w:r>
              <w:rPr>
                <w:rFonts w:ascii="Times New Roman" w:hAnsi="Times New Roman"/>
                <w:b/>
                <w:sz w:val="20"/>
                <w:szCs w:val="20"/>
              </w:rPr>
              <w:t>2</w:t>
            </w:r>
          </w:p>
        </w:tc>
        <w:tc>
          <w:tcPr>
            <w:tcW w:w="850" w:type="dxa"/>
            <w:tcBorders>
              <w:right w:val="single" w:sz="4" w:space="0" w:color="auto"/>
            </w:tcBorders>
          </w:tcPr>
          <w:p ns2:paraId="49B14EE4" ns2:textId="64E3C553" w:rsidR="000355C4" w:rsidRPr="000355C4" w:rsidRDefault="000355C4" w:rsidP="000355C4">
            <w:pPr>
              <w:spacing w:after="120" w:line="240" w:lineRule="auto"/>
              <w:jc w:val="center"/>
              <w:rPr>
                <w:rFonts w:ascii="Times New Roman" w:hAnsi="Times New Roman"/>
                <w:b/>
                <w:sz w:val="20"/>
                <w:szCs w:val="20"/>
              </w:rPr>
            </w:pPr>
          </w:p>
        </w:tc>
        <w:tc>
          <w:tcPr>
            <w:tcW w:w="851" w:type="dxa"/>
            <w:tcBorders>
              <w:left w:val="single" w:sz="4" w:space="0" w:color="auto"/>
            </w:tcBorders>
          </w:tcPr>
          <w:p ns2:paraId="322C5A85" ns2:textId="60DBA207" w:rsidR="000355C4" w:rsidRPr="000355C4" w:rsidRDefault="000355C4" w:rsidP="000355C4">
            <w:pPr>
              <w:spacing w:after="120" w:line="240" w:lineRule="auto"/>
              <w:jc w:val="center"/>
              <w:rPr>
                <w:rFonts w:ascii="Times New Roman" w:hAnsi="Times New Roman"/>
                <w:b/>
                <w:sz w:val="20"/>
                <w:szCs w:val="20"/>
              </w:rPr>
            </w:pPr>
          </w:p>
        </w:tc>
        <w:tc>
          <w:tcPr>
            <w:tcW w:w="840" w:type="dxa"/>
          </w:tcPr>
          <w:p ns2:paraId="6A99640D" ns2:textId="5D92B94D" w:rsidR="000355C4" w:rsidRPr="000355C4" w:rsidRDefault="000355C4" w:rsidP="000355C4">
            <w:pPr>
              <w:spacing w:after="120" w:line="240" w:lineRule="auto"/>
              <w:jc w:val="center"/>
              <w:rPr>
                <w:rFonts w:ascii="Times New Roman" w:hAnsi="Times New Roman"/>
                <w:b/>
                <w:sz w:val="20"/>
                <w:szCs w:val="20"/>
              </w:rPr>
            </w:pPr>
          </w:p>
        </w:tc>
        <w:tc>
          <w:tcPr>
            <w:tcW w:w="882" w:type="dxa"/>
          </w:tcPr>
          <w:p ns2:paraId="19A0285B" ns2:textId="42C01281" w:rsidR="000355C4" w:rsidRPr="000355C4" w:rsidRDefault="000355C4" w:rsidP="000355C4">
            <w:pPr>
              <w:spacing w:after="120" w:line="240" w:lineRule="auto"/>
              <w:jc w:val="center"/>
              <w:rPr>
                <w:rFonts w:ascii="Times New Roman" w:hAnsi="Times New Roman"/>
                <w:b/>
                <w:sz w:val="20"/>
                <w:szCs w:val="20"/>
              </w:rPr>
            </w:pPr>
          </w:p>
        </w:tc>
        <w:tc>
          <w:tcPr>
            <w:tcW w:w="829" w:type="dxa"/>
          </w:tcPr>
          <w:p ns2:paraId="3038F889" ns2:textId="6DB1380C" w:rsidR="000355C4" w:rsidRPr="000355C4" w:rsidRDefault="000355C4" w:rsidP="000355C4">
            <w:pPr>
              <w:spacing w:after="120" w:line="240" w:lineRule="auto"/>
              <w:jc w:val="center"/>
              <w:rPr>
                <w:rFonts w:ascii="Times New Roman" w:hAnsi="Times New Roman"/>
                <w:b/>
                <w:sz w:val="20"/>
                <w:szCs w:val="20"/>
              </w:rPr>
            </w:pPr>
          </w:p>
        </w:tc>
        <w:tc>
          <w:tcPr>
            <w:tcW w:w="1216" w:type="dxa"/>
          </w:tcPr>
          <w:p ns2:paraId="14A37291" ns2:textId="2A788C75" w:rsidR="000355C4" w:rsidRPr="000355C4" w:rsidRDefault="000355C4" w:rsidP="000355C4">
            <w:pPr>
              <w:spacing w:after="120" w:line="240" w:lineRule="auto"/>
              <w:jc w:val="center"/>
              <w:rPr>
                <w:rFonts w:ascii="Times New Roman" w:hAnsi="Times New Roman"/>
                <w:b/>
                <w:sz w:val="20"/>
                <w:szCs w:val="20"/>
              </w:rPr>
            </w:pP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38</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02.01 Наладка приборов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rPr>
          <w:trHeight w:val="20"/>
        </w:trP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rPr>
          <w:trHeight w:val="230"/>
        </w:trP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rPr>
          <w:trHeight w:val="1695"/>
        </w:trP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02.01   Наладка приборов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1.1 Нормативная и техническая документация</w:t>
            </w:r>
          </w:p>
        </w:tc>
        <w:tc>
          <w:tcPr>
            <w:tcW w:type="dxa" w:w="668"/>
            <w:vAlign w:val="center"/>
          </w:tcPr>
          <w:p>
            <w:pPr>
              <w:spacing w:before="0" w:after="0" w:line="240" w:lineRule="auto"/>
              <w:jc w:val="center"/>
            </w:pPr>
            <w:r/>
            <w:r>
              <w:rPr>
                <w:rFonts w:ascii="Times New Roman" w:hAnsi="Times New Roman" w:eastAsia="Times New Roman" w:cs="Times New Roman"/>
                <w:b/>
                <w:sz w:val="20"/>
              </w:rPr>
              <w:t>18</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ГОСТ 21.408–2013 СПДС Правила выполнения рабочей документации автоматизации технологических процессов. ГОСТ 21. СПДС Правила выполнения рабочей документации автоматизации технологических процессов. ГОСТ Р 51672–2000</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7, с. 3-20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Метрологическое обеспечение испытаний продукции для целей подтверждения соответствия. Основные положения. Классификация и конструктивные особенности станков с программным управлением.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3-12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Состав оборудования станков с программным управлением, применяемые приводы, преобразователи, датчики. Основные понятия автоматического управления станками различного назначения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12-30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программного управления станками, способы подготовки ввода управляющей программы. Состав и конфигурация оборудования, аппаратура управления автоматическими линиями. Общие технические требования аппаратуры управления автоматическими линиями.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о гибких автоматизированных производствах. Технические характеристики промышленных роботов. Применяемые приводы, преобразователи, датчики. Виды систем управления роботами, конфигурация оборудования, технические характеристики. Состав оборудования, аппаратуры и приборов управления, контроля и диагностики металлообрабатывающих комплексов.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Структурная и принципиальная электрическая схема и принципы работы "интеллектуальных" датчиков, ультразвуковых установок. Типовая форма протокол о приемке электрооборудования после индивидуального испытания. Типовая форма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13-30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приборов для измерения электрических величин. Техническая документация приборов измерения и контроля давления. Техническая документация приборов измерения и контроля температуры. Техническая документация приборов измерения и контроля уровня. Техническая документация приборов измерения количества жидкостей и газов. Техническая документация приборов измерения качества технологических жидкостей и материалов.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 Техническая документация приборов измерения и контроля вибрации. Техническая документация приборов измерения и контроля загазованности. Техническая документация системы автоматического пожаротушения и видеонаблюдения, телевизионного и телеконтролирующего оборудования. Техническая документация блоков управления приводом задвижки. Техническая документация систем автоматического регулирования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49-64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микропроцессорных систем автоматики. Принципиальные электрические схемы системы автоматики измерения и контроля объекта. Принципиальные электрические схемы системы автоматики автоматического регулирования объекта. Принципиальные электрические схемы микропроцессорных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10-28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1.2 Пусконаладочные работы на объекте</w:t>
            </w:r>
          </w:p>
        </w:tc>
        <w:tc>
          <w:tcPr>
            <w:tcW w:type="dxa" w:w="668"/>
            <w:vAlign w:val="center"/>
          </w:tcPr>
          <w:p>
            <w:pPr>
              <w:spacing w:before="0" w:after="0" w:line="240" w:lineRule="auto"/>
              <w:jc w:val="center"/>
            </w:pPr>
            <w:r/>
            <w:r>
              <w:rPr>
                <w:rFonts w:ascii="Times New Roman" w:hAnsi="Times New Roman" w:eastAsia="Times New Roman" w:cs="Times New Roman"/>
                <w:b/>
                <w:sz w:val="20"/>
              </w:rPr>
              <w:t>30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Организационная структура выполнения пусконаладочных работ и основные функции участников. Подготовка к производству пусконаладочных работ. Организация выполнения пусконаладочных работ. Требования безопасности труда и бережливого производства. Нормы и правила пожарной безопасности при производстве пусконаладочных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8-22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Поузловая приемка и испытания конструктивных и технологических узлов. Индивидуальные испытания приборов для измерения электрических величин. Индивидуальные испытания приборов измерения и контроля давления. Индивидуальные испытания приборов измерения и контроля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23-38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для измерения и контроля уровня. Индивидуальные испытания приборов измерения количества жидкостей и газов.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39-54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измерения качества технологических жидкостей и материалов. Индивидуальные испытания приборов измерения и контроля вибрации. Индивидуальные испытания приборов измерения и контроля загазованности.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55-70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системы автоматического пожаротушения и видеонаблюдения. Индивидуальные испытания блоков управления электроприводом. Индивидуальные испытания блоков управления пневмоприводом. Индивидуальные испытания блоков управления гидроприводом.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71-86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 автоматического регулирования давления. Источники бесперебойного питания. Технические параметры источников бесперебойного питания. Диагностика параметров источников бесперебойного питания. Производство пусконаладочных работ источников бесперебойного питания. Генераторы электрической энергии аварийного питания. Технические параметры и генераторов электрической энергии аварийного питания.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87-102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Диагностика параметров генераторов электрической энергии аварийного питания. Производство пусконаладочных работ генераторов электрической энергии аварийного питания. Функциональные испытания и наладка оборудования и отдельных систем объекта автоматизации. Наладка и пробные пуски оборудования измерения электрических величин и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6-20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Наладка оборудования измерения и контроля температуры и уровня. Пробные пуски оборудования измерения и контроля температуры и уровня. Пробные пуски оборудования измерения и контроля количества жидкостей и газов. Наладка оборудования автоматического пожаротушения и видеонаблюдения.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21-36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Пробные пуски оборудования автоматического пожаротушения и видеонаблюдения. Наладка оборудования блоков управления приводами. Пробные пуски оборудования блоков управления приводами. Наладка и пробные пуски источников аварийного питания. Комплексное опробование оборудования пускового комплекса и гарантийные испытания. Организация процесса ввода в эксплуатацию оборудования пускового комплекса объекта автоматизации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37-52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Составление технической документации для организации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Составление акта технической готовности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Составление протокола о приемке электрооборудования после индивидуального испытания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Составление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Составление акта комплексной приемочной комиссии о готовности электрооборудования пускового комплекса к комплексному опробованию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Оформление актов и протоколов испытаний при приемке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7 Составление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26</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