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С-22</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02.01 Наладка приборов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36</w:t>
      </w:r>
      <w:r>
        <w:rPr>
          <w:rFonts w:ascii="Times New Roman" w:hAnsi="Times New Roman" w:eastAsia="Times New Roman" w:cs="Times New Roman"/>
          <w:b w:val="0"/>
          <w:sz w:val="24"/>
          <w:u w:val="none"/>
        </w:rPr>
        <w:t>___ (часов);                    практические занятия __</w:t>
      </w:r>
      <w:r>
        <w:rPr>
          <w:rFonts w:ascii="Times New Roman" w:hAnsi="Times New Roman" w:eastAsia="Times New Roman" w:cs="Times New Roman"/>
          <w:b w:val="0"/>
          <w:sz w:val="24"/>
          <w:u w:val="single"/>
        </w:rPr>
        <w:t>12</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02.01</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36</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xmlns:ns2="http://schemas.microsoft.com/office/word/2010/wordml" xmlns:a="http://schemas.openxmlformats.org/drawingml/2006/main" xmlns:ns4="http://schemas.microsoft.com/office/word/2010/wordprocessingDrawing" xmlns:ns7="http://schemas.microsoft.com/office/drawing/2010/main" xmlns:o="urn:schemas-microsoft-com:office:office" xmlns:v="urn:schemas-microsoft-com:vml" xmlns:wp="http://schemas.openxmlformats.org/drawingml/2006/wordprocessingDrawing" xmlns:wps="http://schemas.microsoft.com/office/word/2010/wordprocessingShape"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38</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12</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02.01 Наладка приборов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02.01   Наладка приборов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1.1 Нормативная и техническая документация</w:t>
            </w:r>
          </w:p>
        </w:tc>
        <w:tc>
          <w:tcPr>
            <w:tcW w:type="dxa" w:w="668"/>
            <w:vAlign w:val="center"/>
          </w:tcPr>
          <w:p>
            <w:pPr>
              <w:spacing w:before="0" w:after="0" w:line="240" w:lineRule="auto"/>
              <w:jc w:val="center"/>
            </w:pPr>
            <w:r/>
            <w:r>
              <w:rPr>
                <w:rFonts w:ascii="Times New Roman" w:hAnsi="Times New Roman" w:eastAsia="Times New Roman" w:cs="Times New Roman"/>
                <w:b/>
                <w:sz w:val="20"/>
              </w:rPr>
              <w:t>18</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ГОСТ 21.408–2013 СПДС Правила выполнения рабочей документации автоматизации технологических процессов. ГОСТ 21. СПДС Правила выполнения рабочей документации автоматизации технологических процессов. ГОСТ Р 51672–2000</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7, с. 3-20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Метрологическое обеспечение испытаний продукции для целей подтверждения соответствия. Основные положения. Классификация и конструктивные особенности станков с программным управлением.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Состав оборудования станков с программным управлением, применяемые приводы, преобразователи, датчики. Основные понятия автоматического управления станками различного назначения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12-30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программного управления станками, способы подготовки ввода управляющей программы. Состав и конфигурация оборудования, аппаратура управления автоматическими линиями. Общие технические требования аппаратуры управления автоматическими линиями.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о гибких автоматизированных производствах. Технические характеристики промышленных роботов. Применяемые приводы, преобразователи, датчики. Виды систем управления роботами, конфигурация оборудования, технические характеристики. Состав оборудования, аппаратуры и приборов управления, контроля и диагностики металлообрабатывающих комплексов.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3, 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Структурная и принципиальная электрическая схема и принципы работы "интеллектуальных" датчиков, ультразвуковых установок. Типовая форма протокол о приемке электрооборудования после индивидуального испытания. Типовая форма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13-30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приборов для измерения электрических величин. Техническая документация приборов измерения и контроля давления. Техническая документация приборов измерения и контроля температуры. Техническая документация приборов измерения и контроля уровня. Техническая документация приборов измерения количества жидкостей и газов. Техническая документация приборов измерения качества технологических жидкостей и материалов.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31-48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 Техническая документация приборов измерения и контроля вибрации. Техническая документация приборов измерения и контроля загазованности. Техническая документация системы автоматического пожаротушения и видеонаблюдения, телевизионного и телеконтролирующего оборудования. Техническая документация блоков управления приводом задвижки. Техническая документация систем автоматического регулирования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6, с. 49-64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Техническая документация микропроцессорных систем автоматики. Принципиальные электрические схемы системы автоматики измерения и контроля объекта. Принципиальные электрические схемы системы автоматики автоматического регулирования объекта. Принципиальные электрические схемы микропроцессорных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5, с. 10-28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1.2 Пусконаладочные работы на объекте</w:t>
            </w:r>
          </w:p>
        </w:tc>
        <w:tc>
          <w:tcPr>
            <w:tcW w:type="dxa" w:w="668"/>
            <w:vAlign w:val="center"/>
          </w:tcPr>
          <w:p>
            <w:pPr>
              <w:spacing w:before="0" w:after="0" w:line="240" w:lineRule="auto"/>
              <w:jc w:val="center"/>
            </w:pPr>
            <w:r/>
            <w:r>
              <w:rPr>
                <w:rFonts w:ascii="Times New Roman" w:hAnsi="Times New Roman" w:eastAsia="Times New Roman" w:cs="Times New Roman"/>
                <w:b/>
                <w:sz w:val="20"/>
              </w:rPr>
              <w:t>30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Организационная структура выполнения пусконаладочных работ и основные функции участников. Подготовка к производству пусконаладочных работ. Организация выполнения пусконаладочных работ. Требования безопасности труда и бережливого производства. Нормы и правила пожарной безопасности при производстве пусконаладочных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Поузловая приемка и испытания конструктивных и технологических узлов. Индивидуальные испытания приборов для измерения электрических величин. Индивидуальные испытания приборов измерения и контроля давления. Индивидуальные испытания приборов измерения и контроля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23-38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для измерения и контроля уровня. Индивидуальные испытания приборов измерения количества жидкостей и газов.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39-54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приборов измерения качества технологических жидкостей и материалов. Индивидуальные испытания приборов измерения и контроля вибрации. Индивидуальные испытания приборов измерения и контроля загазованности.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55-70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системы автоматического пожаротушения и видеонаблюдения. Индивидуальные испытания блоков управления электроприводом. Индивидуальные испытания блоков управления пневмоприводом. Индивидуальные испытания блоков управления гидроприводом.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71-86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Индивидуальные испытания систем автоматического регулирования давления. Источники бесперебойного питания. Технические параметры источников бесперебойного питания. Диагностика параметров источников бесперебойного питания. Производство пусконаладочных работ источников бесперебойного питания. Генераторы электрической энергии аварийного питания. Технические параметры и генераторов электрической энергии аварийного питания.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ДИ 1, с. 87-102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Диагностика параметров генераторов электрической энергии аварийного питания. Производство пусконаладочных работ генераторов электрической энергии аварийного питания. Функциональные испытания и наладка оборудования и отдельных систем объекта автоматизации. Наладка и пробные пуски оборудования измерения электрических величин и давления.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6-20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Наладка оборудования измерения и контроля температуры и уровня. Пробные пуски оборудования измерения и контроля температуры и уровня. Пробные пуски оборудования измерения и контроля количества жидкостей и газов. Наладка оборудования автоматического пожаротушения и видеонаблюдения.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21-36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Пробные пуски оборудования автоматического пожаротушения и видеонаблюдения. Наладка оборудования блоков управления приводами. Пробные пуски оборудования блоков управления приводами. Наладка и пробные пуски источников аварийного питания. Комплексное опробование оборудования пускового комплекса и гарантийные испытания. Организация процесса ввода в эксплуатацию оборудования пускового комплекса объекта автоматизации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ОИ 1, с. 37-52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Составление технической документации для организации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Составление акта технической готовности электромонтажных работ</w:t>
            </w:r>
          </w:p>
        </w:tc>
        <w:tc>
          <w:tcPr>
            <w:tcW w:type="dxa" w:w="668"/>
            <w:vAlign w:val="center"/>
          </w:tcPr>
          <w:p>
            <w:pPr>
              <w:spacing w:before="0" w:after="0" w:line="240" w:lineRule="auto"/>
              <w:jc w:val="center"/>
            </w:pPr>
            <w:r/>
            <w:r>
              <w:rPr>
                <w:rFonts w:ascii="Times New Roman" w:hAnsi="Times New Roman" w:eastAsia="Times New Roman" w:cs="Times New Roman"/>
                <w:b w:val="0"/>
                <w:sz w:val="20"/>
              </w:rPr>
              <w:t>1</w:t>
            </w:r>
          </w:p>
        </w:tc>
        <w:tc>
          <w:tcPr>
            <w:tcW w:type="dxa" w:w="709"/>
            <w:vAlign w:val="center"/>
          </w:tcPr>
          <w:p>
            <w:pPr>
              <w:spacing w:before="0" w:after="0" w:line="240" w:lineRule="auto"/>
              <w:jc w:val="center"/>
            </w:pPr>
            <w:r/>
            <w:r>
              <w:rPr>
                <w:rFonts w:ascii="Times New Roman" w:hAnsi="Times New Roman" w:eastAsia="Times New Roman" w:cs="Times New Roman"/>
                <w:b w:val="0"/>
                <w:sz w:val="20"/>
              </w:rPr>
              <w:t>1</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Составление протокола о приемке электрооборудования после индивидуального испытания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Составление акта функциональных (поузловых) испытаний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Составление акта комплексной приемочной комиссии о готовности электрооборудования пускового комплекса к комплексному опробованию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Оформление актов и протоколов испытаний при приемке электрооборудования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25</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7 Составление акта комплексной приемочной комиссии о готовности электрооборудования пускового комплекса к вводу объекта в промышленную эксплуатацию</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26</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