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МИНИСТЕРСТВО ОБРАЗОВАНИЯ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ГОСУДАРСТВЕННОЕ БЮДЖЕТНОЕ ПРОФЕССИОНАЛЬНОЕ ОБРАЗОВАТЕЛЬНОЕ УЧРЕЖДЕНИЕ РОСТОВСКОЙ ОБЛАСТИ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«САЛЬСКИЙ ИНДУСТРИАЛЬНЫЙ ТЕХНИКУМ»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ind w:left="6236"/>
        <w:jc w:val="center"/>
      </w:pPr>
      <w:r>
        <w:rPr>
          <w:rFonts w:ascii="Times New Roman" w:hAnsi="Times New Roman"/>
          <w:b w:val="0"/>
          <w:sz w:val="24"/>
        </w:rPr>
        <w:t>УТВЕРЖДАЮ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Зам. директора по УР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____________ Т.В. Якимова</w:t>
      </w:r>
    </w:p>
    <w:p>
      <w:pPr>
        <w:spacing w:before="0" w:after="0"/>
        <w:ind w:left="6236"/>
        <w:jc w:val="center"/>
      </w:pPr>
      <w:r>
        <w:rPr>
          <w:rFonts w:ascii="Times New Roman" w:hAnsi="Times New Roman"/>
          <w:b w:val="0"/>
          <w:sz w:val="24"/>
        </w:rPr>
        <w:t>«___» ___________ 2026 г.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40"/>
        <w:jc w:val="center"/>
      </w:pPr>
      <w:r>
        <w:rPr>
          <w:rFonts w:ascii="Times New Roman" w:hAnsi="Times New Roman"/>
          <w:b/>
          <w:sz w:val="32"/>
        </w:rPr>
        <w:t>ПЕРЕЧЕНЬ МАТЕРИАЛОВ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для подготовки студентов к промежуточной аттестации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8"/>
        </w:rPr>
        <w:t>в 2026-2027 учебном году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 профессиональному модулю ПМ.02 «Ведение наладки, юстировки и сдача в эксплуатацию контрольно-измерительных приборов и электрических схем систем автоматики»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для профессии: 15.01.37 Слесарь-наладчик контрольно-измерительных приборов и автоматики</w:t>
      </w:r>
    </w:p>
    <w:p>
      <w:pPr>
        <w:spacing w:before="0" w:after="0"/>
        <w:ind w:firstLine="709"/>
        <w:jc w:val="both"/>
      </w:pPr>
    </w:p>
    <w:p>
      <w:pPr>
        <w:spacing w:before="0" w:after="0"/>
        <w:ind w:firstLine="709"/>
        <w:jc w:val="both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курс: 2 курс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Группа: С-21, С-22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Преподаватель: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Рассмотрено на заседании цикловой комиссии технических дисциплин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протокол № ___ от «___» ___________ 2026 г.</w:t>
      </w:r>
    </w:p>
    <w:p>
      <w:pPr>
        <w:spacing w:before="0" w:after="0"/>
      </w:pPr>
      <w:r>
        <w:rPr>
          <w:rFonts w:ascii="Times New Roman" w:hAnsi="Times New Roman"/>
          <w:b w:val="0"/>
          <w:sz w:val="24"/>
        </w:rPr>
        <w:t>председатель ______________ /А.Н. Ткаченко/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г. Сальск</w:t>
      </w: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2026 г.</w:t>
      </w: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Контроль знаний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4139"/>
        <w:gridCol w:w="2438"/>
        <w:gridCol w:w="2268"/>
      </w:tblGrid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№п/п</w:t>
            </w:r>
          </w:p>
        </w:tc>
        <w:tc>
          <w:tcPr>
            <w:tcW w:type="dxa" w:w="4139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Контрольные работы, дифференцированный зачет, предусмотренные учебным планом.</w:t>
            </w:r>
          </w:p>
        </w:tc>
        <w:tc>
          <w:tcPr>
            <w:tcW w:type="dxa" w:w="243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Раздел, тема.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Сроки проведения (№ урока).</w:t>
            </w:r>
          </w:p>
        </w:tc>
      </w:tr>
      <w:tr>
        <w:tc>
          <w:tcPr>
            <w:tcW w:type="dxa" w:w="79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</w:t>
            </w:r>
          </w:p>
        </w:tc>
        <w:tc>
          <w:tcPr>
            <w:tcW w:type="dxa" w:w="4139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Комплексный дифференцированный зачет</w:t>
            </w:r>
          </w:p>
        </w:tc>
        <w:tc>
          <w:tcPr>
            <w:tcW w:type="dxa" w:w="243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МДК 02.01, МДК 02.02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24</w:t>
            </w:r>
          </w:p>
        </w:tc>
      </w:tr>
    </w:tbl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 результате освоения профессионального модуля обучающийся должен: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Иметь практический опыт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Выбора необходимых приборов и инструментов.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пригодности приборов к использованию.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Проведения необходимой подготовки приборов к работе.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Определения необходимого объёма работ по проведению пусконаладочных работ приборов и систем автоматики в соответствии с заданием с соблюдением требований к качеству выполняемых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Составления графика пуско-наладочных работ и последовательность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уметь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Читать схемы структур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схемы промышленной автоматики, телемеханики, связи в эксплуатацию.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Передавать в эксплуатацию автоматизированные системы различной степени сложности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Использовать тестовые программы для проведения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Проводить испытания на работоспособность смонтированных схем промышленной автоматики, телемеханики, связи, электронно-механических испытательных и электрогидравлических машин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Оценивать качество результатов собственной деятельности.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Диагностировать электронные приборы с помощью тестовых программ и стендов.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Безопасно работать с приборами, системами автоматики.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Оформлять сдаточную документацию.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/>
          <w:sz w:val="24"/>
        </w:rPr>
        <w:t>Должен знать (обязательная часть):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Производственно-технологическая и нормативная документация, необходимая для выполнения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Электроизмерительные приборы, их классификация, назначение и область применения (приборы для измерения давления, измерения расхода и количества, измерения уровня, измерения и контроля физико-механических параметров).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и состав оборудования станков с программным управлением.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автоматического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программного управления станками.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аппаратуру управления автоматическими линиями.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Классификация автоматических станочных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Основные понятия о гибких автоматизированных производствах, технические характеристики промышленных роботов.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 систем управления роботами.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Состав оборудования, аппаратуры и приборов управления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Необходимые приборы, аппаратуру, инструменты, технологию вспомогательных наладочных работ со следящей аппаратурой и ее блоками.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Устройство диагностической аппаратуры, созданной на базе микропроцессорной техники.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электронных устройств, подавляющих радиопомехи.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Схема и принципы работы "интеллектуальных" датчиков, ультразвуковых установок.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Назначение и характеристика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Способы наладки и технологию выполнения наладки контрольно-измерительных приборов.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систем, приборы и аппаратуру, используемые при наладке.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Принципы наладки телевизионного и телеконтролирующего оборудования.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Технология наладки различных видов оборудования, входящих в состав металлообрабатывающих комплексов.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Виды, способы и последовательность испытаний автоматизированных систем.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снятия характеристик при испытаниях.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безопасности труда и бережливого производства при производстве пусконаладочных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Нормы и правила пожарной безопасности при проведении наладочных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Последовательность и требуемые характеристики сдачи выполненных работ.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Правила оформления сдаточной технической документации.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Перечень практических работ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628"/>
        <w:gridCol w:w="6123"/>
      </w:tblGrid>
      <w:tr>
        <w:tc>
          <w:tcPr>
            <w:tcW w:type="dxa" w:w="36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Наименование тем</w:t>
            </w:r>
          </w:p>
        </w:tc>
        <w:tc>
          <w:tcPr>
            <w:tcW w:type="dxa" w:w="6123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Тема практической работы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02.01 Наладка приборов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1.2 Пусконаладочные работы на объекте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Составление технической документации для организации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Составление акта технической готовности электромонтажных работ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Составление протокола о приемке электрооборудования после индивидуального испытания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Составление акта функциональных (поузловых) испытаний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Составление акта комплексной приемочной комиссии о готовности электрооборудования пускового комплекса к комплексному опробованию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Оформление актов и протоколов испытаний при приемке электрооборудования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7 Составление акта комплексной приемочной комиссии о готовности электрооборудования пускового комплекса к вводу объекта в промышленную эксплуатацию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МДК 02.02 Пусконаладка систем автоматики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1.3 Системы автоматического управления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Динамическое компьютерное моделирование ХТС - емкость, насос, трубопроводы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Моделирование и исследование на ПЭВМ типовых звеньев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Получение передаточных функций сложных систем соединений звеньев. Эквивалентные преобразования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Проверка пневматического ПИ - регулятора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Расчет исполнительного устройства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Исследование САР температуры</w:t>
            </w:r>
          </w:p>
        </w:tc>
      </w:tr>
      <w:tr>
        <w:tc>
          <w:tcPr>
            <w:tcW w:type="dxa" w:w="3628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Тема 1.4 Системы автоматического проектирования</w:t>
            </w:r>
          </w:p>
        </w:tc>
        <w:tc>
          <w:tcPr>
            <w:tcW w:type="dxa" w:w="6123"/>
            <w:vAlign w:val="top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1 Организация интерфейса пакета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2 Анатомия фигуры в MS Visio. Форматирование фигуры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3 Форматирование фигуры в MS Visio. Связывание фигур в MS Visio.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4 Создание организационных схем и диаграмм в MS 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5 Разработка мнемосхемы предметной области с MicrosoftVisio</w:t>
            </w:r>
          </w:p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Практическое занятие № 6 Схемы визуального моделирования в MicrosoftVisiо</w:t>
            </w:r>
          </w:p>
        </w:tc>
      </w:tr>
      <w:tr>
        <w:tc>
          <w:tcPr>
            <w:tcW w:type="dxa" w:w="9751"/>
            <w:gridSpan w:val="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Вид контроля  3 семестр                          Комплексный дифференцированный зачет</w:t>
            </w:r>
          </w:p>
        </w:tc>
      </w:tr>
    </w:tbl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Вопросы к комплексному дифференцированному зачету</w:t>
      </w:r>
    </w:p>
    <w:p>
      <w:pPr>
        <w:spacing w:before="0" w:after="0"/>
      </w:pP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1.</w:t>
        <w:tab/>
        <w:t>Правила выполнения рабочей документации автоматизации технологических процессов (ГОСТ 21.408–2013).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2.</w:t>
        <w:tab/>
        <w:t>Метрологическое обеспечение испытаний продукции для целей подтверждения соответствия.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3.</w:t>
        <w:tab/>
        <w:t>Состав оборудования станков с программным управлением, применяемые приводы, преобразователи, датчики.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4.</w:t>
        <w:tab/>
        <w:t>Виды программного управления станками, способы подготовки и ввода управляющей программы.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5.</w:t>
        <w:tab/>
        <w:t>Классификация автоматических станочных систем различного назначения.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6.</w:t>
        <w:tab/>
        <w:t>Диагностическое оборудование, приборы и инструменты для наладочных работ со следящей аппаратурой.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7.</w:t>
        <w:tab/>
        <w:t>Структурная и принципиальная схема «интеллектуальных» датчиков, ультразвуковых установок.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8.</w:t>
        <w:tab/>
        <w:t>Техническая документация приборов для измерения электрических величин, давления, расхода и уровня.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9.</w:t>
        <w:tab/>
        <w:t>Техническая документация приборов измерения и контроля вибрации.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10.</w:t>
        <w:tab/>
        <w:t>Техническая документация микропроцессорных систем автоматики.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11.</w:t>
        <w:tab/>
        <w:t>Организационная структура выполнения пусконаладочных работ и функции участников.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12.</w:t>
        <w:tab/>
        <w:t>Поузловая приёмка и испытания конструктивных и технологических узлов.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13.</w:t>
        <w:tab/>
        <w:t>Индивидуальные испытания приборов измерения качества технологических жидкостей и материалов.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14.</w:t>
        <w:tab/>
        <w:t>Индивидуальные испытания системы автоматического пожаротушения и видеонаблюдения.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15.</w:t>
        <w:tab/>
        <w:t>Индивидуальные испытания систем автоматического регулирования давления; источники бесперебойного питания.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16.</w:t>
        <w:tab/>
        <w:t>Диагностика параметров генераторов электрической энергии аварийного питания.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17.</w:t>
        <w:tab/>
        <w:t>Наладка оборудования измерения и контроля температуры и уровня; пробные пуски.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18.</w:t>
        <w:tab/>
        <w:t>Основные понятия и определения: процессы, сигналы, исполнительные механизмы, датчики, каналы связи.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19.</w:t>
        <w:tab/>
        <w:t>Системы автоматического регулирования: принципы регулирования, устойчивость, характеристики.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20.</w:t>
        <w:tab/>
        <w:t>Логарифмические частотные характеристики; типовые элементарные звенья.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21.</w:t>
        <w:tab/>
        <w:t>Техническое обеспечение систем автоматического регулирования; микропроцессорные системы.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22.</w:t>
        <w:tab/>
        <w:t>Назначение САПР и ЕСКД в системе государственной стандартизации; виды документов.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23.</w:t>
        <w:tab/>
        <w:t>Форматирование фигуры, текстовые элементы и связывание фигур в MS Visio.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24.</w:t>
        <w:tab/>
        <w:t>Создание организационных схем и диаграмм; разработка мнемосхемы в MS Visio.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25.</w:t>
        <w:tab/>
        <w:t>Схемы визуального моделирования в MS Visio; назначение системы КОМПАС.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26.</w:t>
        <w:tab/>
        <w:t>Типы линий, чертежные шрифты, инструментальная панель КОМПАС.</w:t>
      </w:r>
    </w:p>
    <w:p>
      <w:pPr>
        <w:tabs>
          <w:tab w:pos="709" w:val="left"/>
        </w:tabs>
        <w:spacing w:before="0" w:after="0"/>
        <w:ind w:left="709" w:hanging="709"/>
        <w:jc w:val="both"/>
      </w:pPr>
      <w:r>
        <w:rPr>
          <w:rFonts w:ascii="Times New Roman" w:hAnsi="Times New Roman"/>
          <w:sz w:val="24"/>
        </w:rPr>
        <w:t>27.</w:t>
        <w:tab/>
        <w:t>Построение сопряжений и нанесение размеров; создание 3D-модели в КОМПАС 3D.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/>
          <w:sz w:val="24"/>
        </w:rPr>
        <w:t>КРИТЕРИИ ОЦЕНКИ ЗНАНИЙ СТУДЕНТОВ</w:t>
      </w:r>
    </w:p>
    <w:p>
      <w:pPr>
        <w:spacing w:before="0" w:after="0"/>
      </w:pP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Оценка – это определение степени усвоения обучаемыми знаний, умений и навыков в соответствии с требованиями программ обучения и руководящими документами обучения.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«ОТЛИЧНО» - ставится в том случае, если обучаемый глубоко изучил учебный материал и литературу по проблеме, последовательно и исчерпывающе отвечает на поставленные вопросы, а при выполнении практической работы – если задание выполнено правильно и в установленное нормативом время (при отсутствии нормативов – уверенно и быстро).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«ХОРОШО» - ставится тогда, когда обучаемый твердо знает материал и отвечает без наводящих вопросов, разбирается в литературе по проблеме, а при выполнении практической работы – если задание выполнено правильно.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«УДОВЛЕТВОРИТЕЛЬНО» - ставится при условии, если обучаемый знает лишь основной материал, путается в литературе по проблеме, а на заданные вопросы отвечает недостаточно четко и полно, а при выполнении практической работы – если задание выполнено, но допускались ошибки, не отразившиеся на качестве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«НЕУДОВЛЕТВОРИТЕЛЬНО» - ставится в том случае, когда обучаемый не смог достаточно полно и правильно ответить на поставленные вопросы, не знает литературы по проблеме, а при выполнении практической работы – если задание не сделано или допущены ошибки, влияющие на качество выполненной работы.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Требования к оценке: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объективной и справедливой, ясной и понятной для обучаемого,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выполнять стимулирующую функцию,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оценка должна быть всесторонней.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знаний учитывается: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объем знаний по учебному предмету (вопросу),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понимание изученного, самостоятельность суждений, убежденность в излагаемом,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степень систематизации и глубины знаний,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действенность знаний, умение применять их с целью решения практических задач.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При оценке навыков и умений учитываются: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содержание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точность, прочность, гибкость навыков и умений,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возможность применять навыки и умения на практике,</w:t>
      </w:r>
    </w:p>
    <w:p>
      <w:pPr>
        <w:spacing w:before="0" w:after="0"/>
        <w:ind w:firstLine="709"/>
        <w:jc w:val="both"/>
      </w:pPr>
      <w:r>
        <w:rPr>
          <w:rFonts w:ascii="Times New Roman" w:hAnsi="Times New Roman"/>
          <w:b w:val="0"/>
          <w:sz w:val="24"/>
        </w:rPr>
        <w:t>- наличие ошибок, их количество, характер и влияние на работу.</w:t>
      </w: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С-21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p>
      <w:pPr>
        <w:spacing w:before="0" w:after="0"/>
      </w:pPr>
    </w:p>
    <w:p>
      <w:pPr>
        <w:spacing w:before="0" w:after="0"/>
      </w:pPr>
    </w:p>
    <w:p>
      <w:pPr>
        <w:pageBreakBefore/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Студенты группы С-22 ознакомлены с материалами промежуточной аттестации:</w:t>
      </w:r>
    </w:p>
    <w:p>
      <w:pPr>
        <w:spacing w:before="0"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4422"/>
        <w:gridCol w:w="2324"/>
        <w:gridCol w:w="2891"/>
      </w:tblGrid>
      <w:tr>
        <w:tc>
          <w:tcPr>
            <w:tcW w:type="dxa" w:w="567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4422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ФИО</w:t>
            </w:r>
          </w:p>
        </w:tc>
        <w:tc>
          <w:tcPr>
            <w:tcW w:type="dxa" w:w="2324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Дата</w:t>
            </w:r>
          </w:p>
        </w:tc>
        <w:tc>
          <w:tcPr>
            <w:tcW w:type="dxa" w:w="2891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Подпись</w:t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  <w:tr>
        <w:tc>
          <w:tcPr>
            <w:tcW w:type="dxa" w:w="567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4422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324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2891"/>
            <w:vAlign w:val="top"/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</w:tr>
    </w:tbl>
    <w:p>
      <w:pPr>
        <w:spacing w:before="0" w:after="0"/>
      </w:pPr>
    </w:p>
    <w:p>
      <w:pPr>
        <w:spacing w:before="0" w:after="0"/>
        <w:jc w:val="center"/>
      </w:pPr>
      <w:r>
        <w:rPr>
          <w:rFonts w:ascii="Times New Roman" w:hAnsi="Times New Roman"/>
          <w:b w:val="0"/>
          <w:sz w:val="24"/>
        </w:rPr>
        <w:t>Преподаватель ____________________ Бардаков Д.Н.</w:t>
      </w:r>
    </w:p>
    <w:sectPr w:rsidR="00FC693F" w:rsidRPr="0006063C" w:rsidSect="00034616">
      <w:pgSz w:w="11906" w:h="16838"/>
      <w:pgMar w:top="567" w:right="850" w:bottom="73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