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МИНИСТЕРСТВО ОБЩЕГО И ПРОФЕССИОНАЛЬНОГО   ОБРАЗОВАНИЯЯ РОСТОВСКОЙ ОБЛАСТИ</w:t>
      </w:r>
    </w:p>
    <w:p>
      <w:pPr>
        <w:pStyle w:val="Style16"/>
        <w:jc w:val="center"/>
        <w:rPr>
          <w:rFonts w:ascii="Times New Roman" w:hAnsi="Times New Roman" w:cs="Times New Roman"/>
          <w:caps/>
          <w:sz w:val="20"/>
          <w:szCs w:val="20"/>
        </w:rPr>
      </w:pPr>
      <w:r>
        <w:rPr>
          <w:rFonts w:cs="Times New Roman" w:ascii="Times New Roman" w:hAnsi="Times New Roman"/>
          <w:caps/>
          <w:sz w:val="20"/>
          <w:szCs w:val="20"/>
        </w:rPr>
        <w:t>Государственное БЮДЖЕТНОЕ Профессиональное образовательное учреждение    Ростовской Области</w:t>
      </w:r>
    </w:p>
    <w:p>
      <w:pPr>
        <w:pStyle w:val="Style16"/>
        <w:jc w:val="center"/>
        <w:rPr>
          <w:rFonts w:ascii="Times New Roman" w:hAnsi="Times New Roman" w:cs="Times New Roman"/>
          <w:caps/>
          <w:sz w:val="20"/>
          <w:szCs w:val="20"/>
        </w:rPr>
      </w:pPr>
      <w:r>
        <w:rPr>
          <w:rFonts w:cs="Times New Roman" w:ascii="Times New Roman" w:hAnsi="Times New Roman"/>
          <w:caps/>
          <w:sz w:val="20"/>
          <w:szCs w:val="20"/>
        </w:rPr>
        <w:t>«Сальский индустриальный техникум»</w:t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  <w:tab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УТВЕРЖДАЮ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Зам. директора по УР</w:t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____________ Т.В. Якимова</w:t>
      </w:r>
    </w:p>
    <w:p>
      <w:pPr>
        <w:pStyle w:val="Normal"/>
        <w:spacing w:lineRule="auto" w:line="360" w:before="0" w:after="0"/>
        <w:rPr/>
      </w:pPr>
      <w:r>
        <w:rPr>
          <w:rFonts w:cs="Times New Roman" w:ascii="Times New Roman" w:hAnsi="Times New Roman"/>
          <w:sz w:val="24"/>
          <w:szCs w:val="24"/>
        </w:rPr>
        <w:t xml:space="preserve">                                                                                                               </w:t>
      </w:r>
      <w:r>
        <w:rPr>
          <w:rFonts w:cs="Times New Roman" w:ascii="Times New Roman" w:hAnsi="Times New Roman"/>
          <w:sz w:val="24"/>
          <w:szCs w:val="24"/>
        </w:rPr>
        <w:t>«_____» ___________ 2019г.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  <w:t>ПЕРЕЧЕНЬ МАТЕРИАЛОВ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 xml:space="preserve">для 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подготовки студентов к промежуточной аттестации</w:t>
      </w:r>
    </w:p>
    <w:p>
      <w:pPr>
        <w:pStyle w:val="Normal"/>
        <w:spacing w:lineRule="auto" w:line="36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в 2019-2020 учебном году</w:t>
      </w:r>
    </w:p>
    <w:p>
      <w:pPr>
        <w:pStyle w:val="Normal"/>
        <w:ind w:left="1620" w:right="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cs="Times New Roman" w:ascii="Times New Roman" w:hAnsi="Times New Roman"/>
          <w:color w:val="FF0000"/>
          <w:sz w:val="24"/>
          <w:szCs w:val="24"/>
        </w:rPr>
      </w:r>
    </w:p>
    <w:p>
      <w:pPr>
        <w:pStyle w:val="2"/>
        <w:shd w:fill="auto" w:val="clear"/>
        <w:ind w:left="20" w:right="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по</w:t>
      </w:r>
      <w:r>
        <w:rPr>
          <w:sz w:val="24"/>
          <w:szCs w:val="24"/>
          <w:lang w:val="ru-RU"/>
        </w:rPr>
        <w:t xml:space="preserve"> профессиональному модулю</w:t>
      </w:r>
      <w:r>
        <w:rPr>
          <w:sz w:val="24"/>
          <w:szCs w:val="24"/>
        </w:rPr>
        <w:t xml:space="preserve"> </w:t>
      </w:r>
      <w:bookmarkStart w:id="0" w:name="OLE_LINK86"/>
      <w:bookmarkStart w:id="1" w:name="OLE_LINK85"/>
      <w:bookmarkStart w:id="2" w:name="OLE_LINK6"/>
      <w:bookmarkStart w:id="3" w:name="OLE_LINK5"/>
      <w:r>
        <w:rPr>
          <w:sz w:val="24"/>
          <w:szCs w:val="24"/>
        </w:rPr>
        <w:t>ПМ 0</w:t>
      </w:r>
      <w:r>
        <w:rPr>
          <w:sz w:val="24"/>
          <w:szCs w:val="24"/>
          <w:lang w:val="ru-RU"/>
        </w:rPr>
        <w:t>3</w:t>
      </w:r>
      <w:r>
        <w:rPr>
          <w:sz w:val="24"/>
          <w:szCs w:val="24"/>
        </w:rPr>
        <w:t xml:space="preserve">. МДК </w:t>
      </w:r>
      <w:r>
        <w:rPr>
          <w:sz w:val="24"/>
          <w:szCs w:val="24"/>
          <w:lang w:val="ru-RU"/>
        </w:rPr>
        <w:t>03.01</w:t>
      </w:r>
      <w:r>
        <w:rPr>
          <w:sz w:val="24"/>
          <w:szCs w:val="24"/>
        </w:rPr>
        <w:t xml:space="preserve">  ««Теоретические основы </w:t>
      </w:r>
      <w:r>
        <w:rPr>
          <w:sz w:val="24"/>
          <w:szCs w:val="24"/>
          <w:lang w:val="ru-RU"/>
        </w:rPr>
        <w:t>технического обслуживания и эксплуатации автоматических и мехатронных систем управления</w:t>
      </w:r>
      <w:r>
        <w:rPr>
          <w:sz w:val="24"/>
          <w:szCs w:val="24"/>
        </w:rPr>
        <w:t>»</w:t>
      </w:r>
      <w:bookmarkEnd w:id="0"/>
      <w:bookmarkEnd w:id="1"/>
    </w:p>
    <w:p>
      <w:pPr>
        <w:pStyle w:val="Normal"/>
        <w:jc w:val="both"/>
        <w:rPr>
          <w:rFonts w:ascii="Times New Roman" w:hAnsi="Times New Roman" w:cs="Times New Roman"/>
          <w:sz w:val="24"/>
          <w:szCs w:val="24"/>
        </w:rPr>
      </w:pPr>
      <w:bookmarkEnd w:id="2"/>
      <w:bookmarkEnd w:id="3"/>
      <w:r>
        <w:rPr>
          <w:rFonts w:cs="Times New Roman" w:ascii="Times New Roman" w:hAnsi="Times New Roman"/>
          <w:sz w:val="24"/>
          <w:szCs w:val="24"/>
        </w:rPr>
        <w:t>специальность (код, название): 15.02.07 «Автоматизация технологических процессов и производств»</w:t>
      </w:r>
    </w:p>
    <w:p>
      <w:pPr>
        <w:pStyle w:val="Normal"/>
        <w:spacing w:lineRule="auto" w:line="360"/>
        <w:ind w:left="1620" w:right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 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 xml:space="preserve">Группа  АТП – 42; </w:t>
      </w:r>
    </w:p>
    <w:p>
      <w:pPr>
        <w:pStyle w:val="Normal"/>
        <w:rPr/>
      </w:pPr>
      <w:r>
        <w:rPr>
          <w:rFonts w:cs="Times New Roman" w:ascii="Times New Roman" w:hAnsi="Times New Roman"/>
          <w:sz w:val="24"/>
          <w:szCs w:val="24"/>
        </w:rPr>
        <w:t>Преподаватель: Бардаков Д.Н.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Рассмотрено на заседании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цикловой комиссии технических  дисциплин</w:t>
      </w:r>
    </w:p>
    <w:p>
      <w:pPr>
        <w:pStyle w:val="Normal"/>
        <w:spacing w:lineRule="auto" w:line="360"/>
        <w:rPr/>
      </w:pPr>
      <w:r>
        <w:rPr>
          <w:rFonts w:cs="Times New Roman" w:ascii="Times New Roman" w:hAnsi="Times New Roman"/>
          <w:sz w:val="24"/>
          <w:szCs w:val="24"/>
        </w:rPr>
        <w:t>протокол № _____ от «_____» ______________ 2019г.</w:t>
      </w:r>
    </w:p>
    <w:p>
      <w:pPr>
        <w:pStyle w:val="Normal"/>
        <w:spacing w:lineRule="auto" w:line="36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председатель ______________ А.Н.Ткаченко</w:t>
      </w:r>
    </w:p>
    <w:p>
      <w:pPr>
        <w:pStyle w:val="Normal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г.Сальск</w:t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sz w:val="24"/>
          <w:szCs w:val="24"/>
        </w:rPr>
        <w:t>2019 г.</w:t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1. Контроль знаний</w:t>
      </w:r>
    </w:p>
    <w:tbl>
      <w:tblPr>
        <w:tblW w:w="957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4119"/>
        <w:gridCol w:w="2418"/>
        <w:gridCol w:w="2233"/>
      </w:tblGrid>
      <w:tr>
        <w:trPr/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№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п/п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Контрольные работы, зачеты, предусмотренные учебным планом.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Раздел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Сроки проведения (№ урока).</w:t>
            </w:r>
          </w:p>
        </w:tc>
      </w:tr>
      <w:tr>
        <w:trPr/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8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Дифференцированный зачет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</w:rPr>
              <w:t>Раздел ПМ 1. Эксплуатация и обслуживание средств измерений и автоматизации</w:t>
            </w:r>
          </w:p>
        </w:tc>
        <w:tc>
          <w:tcPr>
            <w:tcW w:w="2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54</w:t>
            </w:r>
          </w:p>
        </w:tc>
      </w:tr>
    </w:tbl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2.Требования к результатам освоения профессионального модуля: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720" w:right="0"/>
        <w:jc w:val="both"/>
        <w:rPr>
          <w:rFonts w:ascii="Times New Roman" w:hAnsi="Times New Roman" w:cs="Times New Roman"/>
          <w:sz w:val="24"/>
          <w:szCs w:val="28"/>
        </w:rPr>
      </w:pPr>
      <w:r>
        <w:rPr>
          <w:rFonts w:cs="Times New Roman" w:ascii="Times New Roman" w:hAnsi="Times New Roman"/>
          <w:sz w:val="24"/>
          <w:szCs w:val="28"/>
        </w:rPr>
        <w:t>С целью овладения указанным видом профессиональной деятельности и соответствующими профессиональными компетенциями обучающийся в ходе освоения профессионального модуля должен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 w:val="24"/>
          <w:szCs w:val="28"/>
        </w:rPr>
        <w:t>иметь практический опыт: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 xml:space="preserve">-осуществления эксплуатации и обслуживания средств измерений и автоматизации; 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>-текущего обслуживания регуляторов и исполнительных механизмов, аппаратно-программной настройки и обслуживания микропроцессорной техники систем автоматического управления, информационных и управляющих систем, мехатронных устройств и систем;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 w:val="24"/>
          <w:szCs w:val="28"/>
        </w:rPr>
        <w:t>уметь (обязательная часть):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>-обеспечивать эксплуатацию автоматических и мехатронных систем управления;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>-производить сопровождение и эксплуатацию аппаратно-программного обеспечения систем автоматического управления и мехатронных устройств и систем;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>-перепрограммировать, обучать и интегрировать автоматизированные системы CAD/САМ;</w:t>
      </w:r>
    </w:p>
    <w:p>
      <w:pPr>
        <w:pStyle w:val="Normal"/>
        <w:spacing w:before="0" w:after="0"/>
        <w:contextualSpacing/>
        <w:rPr/>
      </w:pPr>
      <w:r>
        <w:rPr>
          <w:rFonts w:cs="Times New Roman" w:ascii="Times New Roman" w:hAnsi="Times New Roman"/>
          <w:b/>
          <w:color w:val="000000"/>
          <w:sz w:val="24"/>
          <w:szCs w:val="28"/>
        </w:rPr>
        <w:t>уметь (вариативная часть):</w:t>
      </w:r>
    </w:p>
    <w:p>
      <w:pPr>
        <w:pStyle w:val="Normal"/>
        <w:shd w:fill="FFFFFF" w:val="clear"/>
        <w:ind w:firstLine="540" w:right="0"/>
        <w:jc w:val="both"/>
        <w:rPr/>
      </w:pPr>
      <w:r>
        <w:rPr>
          <w:rFonts w:cs="Times New Roman" w:ascii="Times New Roman" w:hAnsi="Times New Roman"/>
          <w:i/>
          <w:sz w:val="24"/>
          <w:szCs w:val="24"/>
        </w:rPr>
        <w:t xml:space="preserve">-производить конфигурирование и программирование микропроцессорных устройств,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before="0" w:after="0"/>
        <w:ind w:firstLine="540" w:right="0"/>
        <w:jc w:val="both"/>
        <w:rPr>
          <w:rFonts w:ascii="Times New Roman" w:hAnsi="Times New Roman" w:cs="Times New Roman"/>
          <w:i/>
          <w:i/>
          <w:sz w:val="24"/>
          <w:szCs w:val="24"/>
        </w:rPr>
      </w:pPr>
      <w:r>
        <w:rPr>
          <w:rFonts w:cs="Times New Roman" w:ascii="Times New Roman" w:hAnsi="Times New Roman"/>
          <w:i/>
          <w:sz w:val="24"/>
          <w:szCs w:val="24"/>
        </w:rPr>
        <w:t xml:space="preserve">-эксплуатировать  централизованные системы контроля и управления технологическими процессами и  мехатронными системами  на базе микропроцессорной техники  в интегрируемой  среде  программирования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SCADA</w:t>
      </w:r>
      <w:r>
        <w:rPr>
          <w:rFonts w:cs="Times New Roman" w:ascii="Times New Roman" w:hAnsi="Times New Roman"/>
          <w:i/>
          <w:sz w:val="24"/>
          <w:szCs w:val="24"/>
        </w:rPr>
        <w:t xml:space="preserve"> системе.</w:t>
      </w:r>
    </w:p>
    <w:p>
      <w:pPr>
        <w:pStyle w:val="Normal"/>
        <w:spacing w:before="0" w:after="0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cs="Times New Roman" w:ascii="Times New Roman" w:hAnsi="Times New Roman"/>
          <w:b/>
          <w:sz w:val="24"/>
          <w:szCs w:val="28"/>
        </w:rPr>
        <w:t>знать (обязательная часть):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>-нормативные требования по эксплуатации мехатронных устройств, средств измерений и автоматизации;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 xml:space="preserve">-методы настройки, сопровождения и эксплуатации аппаратно-программного обеспечения систем автоматического управления, мехатронных устройств и систем; </w:t>
      </w:r>
    </w:p>
    <w:p>
      <w:pPr>
        <w:pStyle w:val="Normal"/>
        <w:spacing w:before="0" w:after="0"/>
        <w:ind w:firstLine="720" w:right="0"/>
        <w:jc w:val="both"/>
        <w:rPr/>
      </w:pPr>
      <w:r>
        <w:rPr>
          <w:rFonts w:cs="Times New Roman" w:ascii="Times New Roman" w:hAnsi="Times New Roman"/>
          <w:sz w:val="24"/>
          <w:szCs w:val="28"/>
        </w:rPr>
        <w:t>-методы перепрограммирования, обучения и интеграции в автоматизированную систему CAD/САМ</w:t>
      </w:r>
    </w:p>
    <w:p>
      <w:pPr>
        <w:pStyle w:val="Normal"/>
        <w:spacing w:before="0" w:after="0"/>
        <w:contextualSpacing/>
        <w:rPr/>
      </w:pPr>
      <w:r>
        <w:rPr>
          <w:rFonts w:cs="Times New Roman" w:ascii="Times New Roman" w:hAnsi="Times New Roman"/>
          <w:b/>
          <w:color w:val="000000"/>
          <w:sz w:val="24"/>
          <w:szCs w:val="28"/>
        </w:rPr>
        <w:t>знать (вариативная часть):</w:t>
      </w:r>
    </w:p>
    <w:p>
      <w:pPr>
        <w:pStyle w:val="Normal"/>
        <w:ind w:firstLine="540" w:right="0"/>
        <w:rPr/>
      </w:pPr>
      <w:r>
        <w:rPr>
          <w:rFonts w:cs="Times New Roman" w:ascii="Times New Roman" w:hAnsi="Times New Roman"/>
          <w:i/>
          <w:color w:val="000000"/>
          <w:sz w:val="24"/>
          <w:szCs w:val="24"/>
        </w:rPr>
        <w:t xml:space="preserve">-современные микропроцессорные устройства контроля и управления; </w:t>
      </w:r>
    </w:p>
    <w:p>
      <w:pPr>
        <w:pStyle w:val="Normal"/>
        <w:ind w:firstLine="540" w:right="0"/>
        <w:jc w:val="both"/>
        <w:rPr/>
      </w:pPr>
      <w:r>
        <w:rPr>
          <w:rFonts w:cs="Times New Roman" w:ascii="Times New Roman" w:hAnsi="Times New Roman"/>
          <w:i/>
          <w:color w:val="000000"/>
          <w:sz w:val="24"/>
          <w:szCs w:val="24"/>
        </w:rPr>
        <w:t xml:space="preserve">-технологию создания централизованных систем управления технологическими процессами; </w:t>
      </w:r>
    </w:p>
    <w:p>
      <w:pPr>
        <w:pStyle w:val="Normal"/>
        <w:ind w:firstLine="540" w:right="0"/>
        <w:jc w:val="both"/>
        <w:rPr>
          <w:rFonts w:ascii="Times New Roman" w:hAnsi="Times New Roman" w:cs="Times New Roman"/>
          <w:i/>
          <w:i/>
          <w:color w:val="000000"/>
          <w:sz w:val="24"/>
          <w:szCs w:val="24"/>
        </w:rPr>
      </w:pPr>
      <w:r>
        <w:rPr>
          <w:rFonts w:cs="Times New Roman" w:ascii="Times New Roman" w:hAnsi="Times New Roman"/>
          <w:i/>
          <w:color w:val="000000"/>
          <w:sz w:val="24"/>
          <w:szCs w:val="24"/>
        </w:rPr>
        <w:t xml:space="preserve">-назначение и функциональные возможности </w:t>
      </w:r>
      <w:r>
        <w:rPr>
          <w:rFonts w:cs="Times New Roman" w:ascii="Times New Roman" w:hAnsi="Times New Roman"/>
          <w:i/>
          <w:sz w:val="24"/>
          <w:szCs w:val="24"/>
        </w:rPr>
        <w:t xml:space="preserve">интегрируемой  среды  программирования </w:t>
      </w:r>
      <w:r>
        <w:rPr>
          <w:rFonts w:cs="Times New Roman" w:ascii="Times New Roman" w:hAnsi="Times New Roman"/>
          <w:i/>
          <w:sz w:val="24"/>
          <w:szCs w:val="24"/>
          <w:lang w:val="en-US"/>
        </w:rPr>
        <w:t>SCADA</w:t>
      </w:r>
      <w:r>
        <w:rPr>
          <w:rFonts w:cs="Times New Roman" w:ascii="Times New Roman" w:hAnsi="Times New Roman"/>
          <w:i/>
          <w:sz w:val="24"/>
          <w:szCs w:val="24"/>
        </w:rPr>
        <w:t xml:space="preserve"> системы</w:t>
      </w:r>
      <w:r>
        <w:rPr>
          <w:rFonts w:cs="Times New Roman" w:ascii="Times New Roman" w:hAnsi="Times New Roman"/>
          <w:i/>
          <w:color w:val="000000"/>
          <w:sz w:val="24"/>
          <w:szCs w:val="24"/>
        </w:rPr>
        <w:t>;</w:t>
      </w:r>
    </w:p>
    <w:p>
      <w:pPr>
        <w:pStyle w:val="Normal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3. Перечень самостоятельных и практических </w:t>
      </w:r>
      <w:r>
        <w:rPr/>
        <w:t xml:space="preserve"> работ</w:t>
      </w:r>
    </w:p>
    <w:tbl>
      <w:tblPr>
        <w:tblW w:w="1001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4205"/>
        <w:gridCol w:w="2994"/>
        <w:gridCol w:w="8"/>
      </w:tblGrid>
      <w:tr>
        <w:trPr>
          <w:trHeight w:val="751" w:hRule="atLeast"/>
        </w:trPr>
        <w:tc>
          <w:tcPr>
            <w:tcW w:w="28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Наименование тем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Тема практической работы</w:t>
            </w:r>
          </w:p>
          <w:p>
            <w:pPr>
              <w:pStyle w:val="Normal"/>
              <w:spacing w:lineRule="auto" w:line="240" w:before="0" w:after="200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Тема  самостоятельной </w:t>
            </w:r>
          </w:p>
          <w:p>
            <w:pPr>
              <w:pStyle w:val="Normal"/>
              <w:spacing w:lineRule="auto" w:line="240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работы</w:t>
            </w:r>
          </w:p>
        </w:tc>
      </w:tr>
      <w:tr>
        <w:trPr>
          <w:trHeight w:val="404" w:hRule="atLeast"/>
        </w:trPr>
        <w:tc>
          <w:tcPr>
            <w:tcW w:w="1001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Раздел ПМ 1. Эксплуатация и обслуживание средств измерений и автоматизации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МДК 03.01. Тема 1.1 Организация эксплуатации оборудования</w:t>
            </w:r>
            <w:r>
              <w:rPr>
                <w:rFonts w:cs="Times New Roman" w:ascii="Times New Roman" w:hAnsi="Times New Roman"/>
                <w:bCs/>
                <w:color w:val="000000"/>
                <w:sz w:val="24"/>
                <w:szCs w:val="24"/>
              </w:rPr>
              <w:t>.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OLE_LINK127"/>
            <w:bookmarkStart w:id="5" w:name="OLE_LINK126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«Развитие автоматизации, совершенствование метрологического обеспечения»</w:t>
            </w:r>
            <w:bookmarkEnd w:id="4"/>
            <w:bookmarkEnd w:id="5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«Взаимосвязь службы КИП и А, с другими подразделениями предприятия»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6" w:name="OLE_LINK153"/>
            <w:bookmarkStart w:id="7" w:name="OLE_LINK152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№3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«Виды работ проводимые службой КИП и А»</w:t>
            </w:r>
            <w:bookmarkEnd w:id="6"/>
            <w:bookmarkEnd w:id="7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8" w:name="OLE_LINK80"/>
            <w:bookmarkStart w:id="9" w:name="OLE_LINK79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№4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«Сравнительная характеристика степеней климатического исполнения оборудования»</w:t>
            </w:r>
            <w:bookmarkEnd w:id="8"/>
            <w:bookmarkEnd w:id="9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0" w:name="OLE_LINK20"/>
            <w:bookmarkStart w:id="11" w:name="OLE_LINK19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№5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«Система планово-предупредительных ремонтов, достоинства и недостатки»</w:t>
            </w:r>
            <w:bookmarkEnd w:id="10"/>
            <w:bookmarkEnd w:id="11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2" w:name="OLE_LINK95"/>
            <w:bookmarkStart w:id="13" w:name="OLE_LINK94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№6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«Сравнительная характеристика категорий помещений для размещения оборудования»</w:t>
            </w:r>
            <w:bookmarkEnd w:id="12"/>
            <w:bookmarkEnd w:id="13"/>
          </w:p>
        </w:tc>
      </w:tr>
      <w:tr>
        <w:trPr>
          <w:trHeight w:val="397" w:hRule="atLeast"/>
        </w:trPr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fill="FFFFFF" w:val="clear"/>
              <w:autoSpaceDE w:val="false"/>
              <w:spacing w:lineRule="exact" w:line="274" w:before="0" w:after="0"/>
              <w:ind w:left="-108" w:right="-108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МДК 03.01</w:t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Тема 1.2 Система эксплуатации измерительной техники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№7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«Методика выбора средств измерений»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№8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«Методика расчета обменного фонда средств измерений»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№9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«Методика назначения длительности межповерочных интервалов»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4" w:name="OLE_LINK164"/>
            <w:bookmarkStart w:id="15" w:name="OLE_LINK155"/>
            <w:bookmarkStart w:id="16" w:name="OLE_LINK154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№10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«Особенности поверки первичных измерительных преобразователей»</w:t>
            </w:r>
            <w:bookmarkEnd w:id="14"/>
            <w:bookmarkEnd w:id="15"/>
            <w:bookmarkEnd w:id="16"/>
          </w:p>
        </w:tc>
      </w:tr>
      <w:tr>
        <w:trPr>
          <w:trHeight w:val="397" w:hRule="atLeast"/>
        </w:trPr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МДК 03.01. Тема 1.3 Эксплуатация пневматических приводов и систем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7" w:name="OLE_LINK157"/>
            <w:bookmarkStart w:id="18" w:name="OLE_LINK156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№11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 «Блоки подготовки воздуха»</w:t>
            </w:r>
            <w:bookmarkEnd w:id="17"/>
            <w:bookmarkEnd w:id="18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№12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«Способы защиты штока пневмоцилиндров от перегрузок и поворота»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№13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«Определение параметров пневмораспределителей»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МДК 03.01 Тема 1.4 </w:t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Эксплуатация электрического и электромеханического оборудования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19" w:name="OLE_LINK166"/>
            <w:bookmarkStart w:id="20" w:name="OLE_LINK165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№14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«Сравнительная характеристика категорий потребителей»</w:t>
            </w:r>
            <w:bookmarkEnd w:id="19"/>
            <w:bookmarkEnd w:id="20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№15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«Анализ аварийных режимов и отказов оборудования»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№16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«Выбор защиты электрических машин»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№17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«Эксплуатация электробытовой техники»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МДК 03.01 Тема 1.5 Эксплуатация гидравлических приводов и систем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№18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«Физические основы функционирования гидросистем»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№19 </w:t>
            </w:r>
            <w:bookmarkStart w:id="21" w:name="OLE_LINK178"/>
            <w:bookmarkStart w:id="22" w:name="OLE_LINK177"/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«Поворотные гидродвигатели»</w:t>
            </w:r>
            <w:bookmarkEnd w:id="21"/>
            <w:bookmarkEnd w:id="22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№20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Подготовка сообщения «Телескопические гидроцилиндры»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№21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«Гидроаппараты управления давлением»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МДК 03.01 Тема 1.6 </w:t>
            </w: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</w:rPr>
              <w:t>Эксплуатация средств автоматизации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№22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Составление таблицы «Регламент технического обслуживания датчиков температуры»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№23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«Перспективные методы поиска отказавших элементов»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23" w:name="OLE_LINK190"/>
            <w:bookmarkStart w:id="24" w:name="OLE_LINK189"/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№24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«Микропроцессорные средства диагностики»</w:t>
            </w:r>
            <w:bookmarkEnd w:id="23"/>
            <w:bookmarkEnd w:id="24"/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№25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«Автоматизируемый комплекс как система массового обслуживания»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МДК 03.01. Тема 1.7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eastAsia="Calibri" w:cs="Times New Roman" w:ascii="Times New Roman" w:hAnsi="Times New Roman"/>
                <w:b/>
                <w:bCs/>
                <w:sz w:val="24"/>
                <w:szCs w:val="24"/>
              </w:rPr>
              <w:t xml:space="preserve"> Обслуживание микропроцессорной техники и АСУ ТП</w:t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№1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Разработка программ управления для программируемого логического контроллера ОВЕН ПЛК 110 в среде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CoDeSys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№26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«Технико-экономическая эффективность АСУ ТП»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занятие№2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Расширение возможностей ОВЕН ПЛК 110, изменение конфигурации в среде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CoDeSys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Самостоятельная работа №27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Подготовка сообщения «Ближайшие перспективы развития АСУ ТП»</w:t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№3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Разработка программы управления для программируемого логического контроллера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Segnetics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SMH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G</w:t>
            </w: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.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№4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Подключение измерителя-регулятора ОВЕН МПР 51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Owen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Process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Manager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 xml:space="preserve">Практическое занятие №5 </w:t>
            </w:r>
          </w:p>
          <w:p>
            <w:pPr>
              <w:pStyle w:val="Normal"/>
              <w:spacing w:before="0" w:after="0"/>
              <w:rPr/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Подключение измерителя-регулятора ОВЕН ТРМ 201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TRACE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через встроенный драйвер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№6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Подключение модуля аналогового ввода ОВЕН МВ 110-8А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TRACE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 протоколу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Modbus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/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№7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Подключение модуля дискретного вывода ОВЕН МУ 110-8Р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TRACE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 протоколу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Modbus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  <w:lang w:val="en-US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№8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Подключение ПЛК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Segnetics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SMH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G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TRACE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MODE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 протоколу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Modbus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№9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Подключение измерителя-регулятора ОВЕН ТРМ 201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MasterSCADA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через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OPC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-сервер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№10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Подключение модуля аналогового ввода ОВЕН МВ 110-8А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MasterSCADA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через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OPC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-сервер</w:t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  <w:tr>
        <w:trPr>
          <w:trHeight w:val="397" w:hRule="atLeast"/>
        </w:trPr>
        <w:tc>
          <w:tcPr>
            <w:tcW w:w="280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42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  <w:t>Практическое занятие №11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Подключение модуля дискретного вывода ОВЕН МУ 110-8Р к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-системе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MasterSCADA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через </w:t>
            </w:r>
            <w:r>
              <w:rPr>
                <w:rFonts w:cs="Times New Roman" w:ascii="Times New Roman" w:hAnsi="Times New Roman"/>
                <w:sz w:val="24"/>
                <w:szCs w:val="24"/>
                <w:lang w:val="en-US"/>
              </w:rPr>
              <w:t>OPC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>-сервер</w:t>
            </w:r>
          </w:p>
          <w:p>
            <w:pPr>
              <w:pStyle w:val="Normal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  <w:tc>
          <w:tcPr>
            <w:tcW w:w="2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before="0" w:after="20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/>
                <w:sz w:val="24"/>
                <w:szCs w:val="24"/>
              </w:rPr>
            </w:r>
          </w:p>
        </w:tc>
      </w:tr>
    </w:tbl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/>
      </w:pPr>
      <w:r>
        <w:rPr>
          <w:rFonts w:cs="Times New Roman" w:ascii="Times New Roman" w:hAnsi="Times New Roman"/>
          <w:b/>
          <w:sz w:val="28"/>
          <w:szCs w:val="28"/>
        </w:rPr>
        <w:t xml:space="preserve">3. Вопросы к  </w:t>
      </w:r>
      <w:r>
        <w:rPr>
          <w:rFonts w:cs="Times New Roman" w:ascii="Times New Roman" w:hAnsi="Times New Roman"/>
          <w:b/>
          <w:sz w:val="28"/>
          <w:szCs w:val="28"/>
          <w:u w:val="single"/>
        </w:rPr>
        <w:t xml:space="preserve">дифференцированному </w:t>
      </w:r>
      <w:r>
        <w:rPr>
          <w:rFonts w:cs="Times New Roman" w:ascii="Times New Roman" w:hAnsi="Times New Roman"/>
          <w:b/>
          <w:sz w:val="28"/>
          <w:szCs w:val="28"/>
        </w:rPr>
        <w:t>зачету по ПМ 03 МДК 03.01: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1. Общие сведения о службе КИП и А предприятия.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2.Транспортировка и хранение, конструктивное исполнение оборудования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3.Степени защиты оборудования КИП и А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4.Виды технического обслуживания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5.Виды и причины износов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6.Характеристика условий размещения оборудования и средств автоматизации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7.Назначение и содержание работ по эксплуатации измерительной техники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8.Применение средств измерений и контроля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9.Транспортировка и хранение средств измерений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10.Категорирование и списание средств измерений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11.Энергообеспечивающая подсистема пневматических приводов и систем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 xml:space="preserve">12.Исполнительная подсистема пневматических приводов и систем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13.Направляющая и регулирующая подсистема пневматических приводов и систем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14.Эксплуатация пневматических приводов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15.Общие требования техники безопасности при эксплуатации пневматических приводов и систем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16.Потребители электрической энергии как объект эксплуатации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17.Техническое обслуживание электрических проводок систем автоматизации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18.Техническое обслуживание электрических аппаратов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19.Техническое обслуживание электрических машин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20.Общие требования техники безопасности при эксплуатации электрического оборудования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21.Энергообеспечивающая подсистема гидравлических приводов и систем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 xml:space="preserve">22.Исполнительная подсистема гидравлических приводов и систем 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23.Направляющая и регулирующая подсистема гидравлических приводов и систем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iCs/>
          <w:sz w:val="28"/>
          <w:szCs w:val="28"/>
        </w:rPr>
        <w:t>24.Эксплуатация гидравлических приводов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iCs/>
          <w:sz w:val="28"/>
          <w:szCs w:val="28"/>
        </w:rPr>
        <w:t>25.Общие требования техники безопасности при эксплуатации гидравлических приводов и систем</w:t>
      </w:r>
    </w:p>
    <w:p>
      <w:pPr>
        <w:pStyle w:val="BodyText"/>
        <w:rPr/>
      </w:pPr>
      <w:r>
        <w:rPr>
          <w:szCs w:val="28"/>
        </w:rPr>
        <w:t xml:space="preserve">26.Техническое обслуживание датчиков температуры. </w:t>
      </w:r>
    </w:p>
    <w:p>
      <w:pPr>
        <w:pStyle w:val="BodyText"/>
        <w:rPr/>
      </w:pPr>
      <w:r>
        <w:rPr>
          <w:szCs w:val="28"/>
        </w:rPr>
        <w:t xml:space="preserve">27.Техническое обслуживание датчиков давления, разряжения. </w:t>
      </w:r>
    </w:p>
    <w:p>
      <w:pPr>
        <w:pStyle w:val="BodyText"/>
        <w:rPr/>
      </w:pPr>
      <w:r>
        <w:rPr>
          <w:szCs w:val="28"/>
        </w:rPr>
        <w:t xml:space="preserve">28.Техническое обслуживание датчиков расхода. </w:t>
      </w:r>
    </w:p>
    <w:p>
      <w:pPr>
        <w:pStyle w:val="BodyText"/>
        <w:rPr/>
      </w:pPr>
      <w:r>
        <w:rPr>
          <w:szCs w:val="28"/>
        </w:rPr>
        <w:t>29.Техническое обслуживание микропроцессорных измерителей-регуляторов и программируемых логических контроллеров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sz w:val="28"/>
          <w:szCs w:val="28"/>
        </w:rPr>
        <w:t>30.Особенности эксплуатации АСУ ТП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bCs/>
          <w:iCs/>
          <w:sz w:val="28"/>
          <w:szCs w:val="28"/>
        </w:rPr>
        <w:t>31.Организация эксплуатации АСУ ТП</w:t>
      </w:r>
    </w:p>
    <w:p>
      <w:pPr>
        <w:pStyle w:val="Normal"/>
        <w:spacing w:lineRule="auto" w:line="240" w:before="0" w:after="0"/>
        <w:rPr/>
      </w:pPr>
      <w:r>
        <w:rPr>
          <w:rFonts w:cs="Times New Roman" w:ascii="Times New Roman" w:hAnsi="Times New Roman"/>
          <w:bCs/>
          <w:iCs/>
          <w:sz w:val="28"/>
          <w:szCs w:val="28"/>
        </w:rPr>
        <w:t>32.Техническое обслуживание АСУ ТП</w:t>
      </w:r>
    </w:p>
    <w:p>
      <w:pPr>
        <w:pStyle w:val="Normal"/>
        <w:spacing w:before="0" w:after="0"/>
        <w:rPr>
          <w:rFonts w:ascii="Times New Roman" w:hAnsi="Times New Roman" w:cs="Times New Roman"/>
          <w:b/>
          <w:bCs/>
          <w:iCs/>
          <w:sz w:val="28"/>
          <w:szCs w:val="28"/>
        </w:rPr>
      </w:pPr>
      <w:r>
        <w:rPr>
          <w:rFonts w:cs="Times New Roman" w:ascii="Times New Roman" w:hAnsi="Times New Roman"/>
          <w:b/>
          <w:bCs/>
          <w:iCs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4. Критерии оценки знаний студентов:</w:t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ind w:firstLine="720" w:right="0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 </w:t>
      </w:r>
      <w:r>
        <w:rPr>
          <w:rFonts w:cs="Times New Roman" w:ascii="Times New Roman" w:hAnsi="Times New Roman"/>
          <w:b/>
          <w:sz w:val="28"/>
          <w:szCs w:val="28"/>
        </w:rPr>
        <w:t>Оценка «5»</w:t>
      </w:r>
      <w:r>
        <w:rPr>
          <w:rFonts w:cs="Times New Roman" w:ascii="Times New Roman" w:hAnsi="Times New Roman"/>
          <w:sz w:val="28"/>
          <w:szCs w:val="28"/>
        </w:rPr>
        <w:t xml:space="preserve"> – ставится за глубокое и полное овладение содержанием учебного материала, в котором учащайся легко ориентируется, понятийным аппаратом, умение связывать теорию с практикой, решать практические задачи, высказывать и обосновать свои суждения.</w:t>
      </w:r>
    </w:p>
    <w:p>
      <w:pPr>
        <w:pStyle w:val="Normal"/>
        <w:ind w:firstLine="72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Отличная отметка предполагает грамотное, логическое изложение ответа (как в устной, так и в письменной форме), качественное внешнее оформление.</w:t>
      </w:r>
    </w:p>
    <w:p>
      <w:pPr>
        <w:pStyle w:val="Normal"/>
        <w:ind w:firstLine="72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20" w:right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Оценка «4»</w:t>
      </w:r>
      <w:r>
        <w:rPr>
          <w:rFonts w:cs="Times New Roman" w:ascii="Times New Roman" w:hAnsi="Times New Roman"/>
          <w:sz w:val="28"/>
          <w:szCs w:val="28"/>
        </w:rPr>
        <w:t xml:space="preserve"> – ставится если учащийся полно освоил учебный материал, владеет понятийным аппаратом, ориентируется в изученном материале, осознано применяет знания для решения практических задач, грамотно излагает ответ, но содержание, форма ответа имеют отдельные неточности.   </w:t>
      </w:r>
    </w:p>
    <w:p>
      <w:pPr>
        <w:pStyle w:val="Normal"/>
        <w:ind w:firstLine="72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20" w:right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Оценка «3»</w:t>
      </w:r>
      <w:r>
        <w:rPr>
          <w:rFonts w:cs="Times New Roman" w:ascii="Times New Roman" w:hAnsi="Times New Roman"/>
          <w:sz w:val="28"/>
          <w:szCs w:val="28"/>
        </w:rPr>
        <w:t xml:space="preserve"> – ставится если учащийся обнаруживает знание и понимание основных положений учебного материала, но излагает его неполно, непоследовательно, допускает неточности в определении понятий, в применении знаний для решения практических задач, не умеет доказательно обосновать свои суждения.</w:t>
      </w:r>
    </w:p>
    <w:p>
      <w:pPr>
        <w:pStyle w:val="Normal"/>
        <w:ind w:firstLine="720" w:righ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20" w:right="0"/>
        <w:jc w:val="both"/>
        <w:rPr/>
      </w:pPr>
      <w:r>
        <w:rPr>
          <w:rFonts w:cs="Times New Roman" w:ascii="Times New Roman" w:hAnsi="Times New Roman"/>
          <w:b/>
          <w:sz w:val="28"/>
          <w:szCs w:val="28"/>
        </w:rPr>
        <w:t>Оценка «2»</w:t>
      </w:r>
      <w:r>
        <w:rPr>
          <w:rFonts w:cs="Times New Roman" w:ascii="Times New Roman" w:hAnsi="Times New Roman"/>
          <w:sz w:val="28"/>
          <w:szCs w:val="28"/>
        </w:rPr>
        <w:t xml:space="preserve"> – ставится если учащийся имеет разрозненные, бессистемные знания, не умеет выделять главное и второстепенное, допускает ошибки в определении понятий, искажающие их смысл, беспорядочно и неуверенно излагает материал, не может применят знания для решения практических задач.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ind w:firstLine="720" w:right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before="0"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5.Студенты группы АТП-42 ознакомлены с материалами  промежуточной аттестации:</w:t>
      </w:r>
    </w:p>
    <w:tbl>
      <w:tblPr>
        <w:tblW w:w="8660" w:type="dxa"/>
        <w:jc w:val="left"/>
        <w:tblInd w:w="45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4"/>
        <w:gridCol w:w="2636"/>
        <w:gridCol w:w="2340"/>
        <w:gridCol w:w="2900"/>
      </w:tblGrid>
      <w:tr>
        <w:trPr>
          <w:trHeight w:val="820" w:hRule="atLeast"/>
        </w:trPr>
        <w:tc>
          <w:tcPr>
            <w:tcW w:w="7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№</w:t>
            </w:r>
          </w:p>
        </w:tc>
        <w:tc>
          <w:tcPr>
            <w:tcW w:w="26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Дата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Подпись</w:t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Акимов Александр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Аксюта Александр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Глазко Алексей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Головко Максим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Гриньков Никита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Дума Николай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Зинченко Виталий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Зоря Ангелина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Картавая Анастасия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Киракосян Оганнес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Киселев Михаил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Кобзев Николай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Кобзарь Никита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Кукорека Алексей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Куншенко Сергей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Огняников Игорь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Сишко Дмитрий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Толстов Константин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Тятенко Сергей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Филимонов Никита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21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Чамсадинов Расул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78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22</w:t>
            </w:r>
          </w:p>
        </w:tc>
        <w:tc>
          <w:tcPr>
            <w:tcW w:w="2636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Style16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Шестопалов Павел</w:t>
            </w:r>
          </w:p>
        </w:tc>
        <w:tc>
          <w:tcPr>
            <w:tcW w:w="234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  <w:tc>
          <w:tcPr>
            <w:tcW w:w="29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Style16"/>
              <w:snapToGrid w:val="false"/>
              <w:spacing w:before="0" w:after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/>
      </w:pPr>
      <w:r>
        <w:rPr>
          <w:rFonts w:cs="Times New Roman" w:ascii="Times New Roman" w:hAnsi="Times New Roman"/>
          <w:sz w:val="28"/>
          <w:szCs w:val="28"/>
        </w:rPr>
        <w:t>Преподаватель __________________________/Бардаков Д.Н./</w:t>
      </w:r>
    </w:p>
    <w:p>
      <w:pPr>
        <w:pStyle w:val="Normal"/>
        <w:spacing w:lineRule="auto" w:line="240" w:before="0" w:after="0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851" w:gutter="0" w:header="0" w:top="539" w:footer="0" w:bottom="89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cc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cc"/>
    <w:family w:val="roman"/>
    <w:pitch w:val="variable"/>
  </w:font>
  <w:font w:name="Verdana"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c1c12">
    <w:name w:val="c1 c12"/>
    <w:basedOn w:val="Style14"/>
    <w:qFormat/>
    <w:rPr/>
  </w:style>
  <w:style w:type="character" w:styleId="Style15">
    <w:name w:val="Основной текст Знак"/>
    <w:basedOn w:val="Style14"/>
    <w:qFormat/>
    <w:rPr>
      <w:sz w:val="28"/>
      <w:lang w:val="ru-RU" w:bidi="ar-S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lineRule="auto" w:line="240" w:before="0" w:after="0"/>
      <w:jc w:val="both"/>
    </w:pPr>
    <w:rPr>
      <w:rFonts w:ascii="Times New Roman" w:hAnsi="Times New Roman" w:cs="Times New Roman"/>
      <w:sz w:val="28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Без интервала"/>
    <w:qFormat/>
    <w:pPr>
      <w:widowControl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Style17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">
    <w:name w:val="Основной текст (2)"/>
    <w:basedOn w:val="Normal"/>
    <w:qFormat/>
    <w:pPr>
      <w:shd w:fill="FFFFFF" w:val="clear"/>
      <w:suppressAutoHyphens w:val="true"/>
      <w:spacing w:lineRule="atLeast" w:line="240" w:before="0" w:after="300"/>
    </w:pPr>
    <w:rPr>
      <w:rFonts w:ascii="Times New Roman" w:hAnsi="Times New Roman" w:cs="Times New Roman"/>
      <w:sz w:val="28"/>
      <w:szCs w:val="28"/>
      <w:lang w:val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2014-09-24T11:41:00Z</dcterms:created>
  <dc:creator>Безницкая</dc:creator>
  <dc:description/>
  <cp:keywords/>
  <dc:language>en-US</dc:language>
  <cp:lastModifiedBy>5</cp:lastModifiedBy>
  <cp:lastPrinted>2017-10-16T13:59:00Z</cp:lastPrinted>
  <dcterms:modified xsi:type="dcterms:W3CDTF">2019-10-16T11:06:00Z</dcterms:modified>
  <cp:revision>41</cp:revision>
  <dc:subject/>
  <dc:title/>
</cp:coreProperties>
</file>