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>МИНИСТЕРСТВО ОБЩЕГО И ПРОФЕССИОНАЛЬНОГО ОБРАЗОВАНИЯЯ РОСТОВСКОЙ ОБЛАСТИ</w:t>
      </w:r>
    </w:p>
    <w:p>
      <w:pPr>
        <w:pStyle w:val="Style20"/>
        <w:jc w:val="center"/>
        <w:rPr/>
      </w:pPr>
      <w:r>
        <w:rPr>
          <w:rFonts w:cs="Times New Roman" w:ascii="Times New Roman" w:hAnsi="Times New Roman"/>
          <w:caps/>
          <w:sz w:val="20"/>
          <w:szCs w:val="20"/>
        </w:rPr>
        <w:t>Государственное БЮДЖЕТНОЕ ПРОФЕССИОНАЛЬНОЕ образовательное учреждение  Ростовской Области  «Сальский индустриальный техникум»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</w:t>
      </w:r>
      <w:r>
        <w:rPr/>
        <w:t>УТВЕРЖДАЮ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     </w:t>
      </w:r>
      <w:r>
        <w:rPr/>
        <w:t>Зам. директора по УР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</w:t>
      </w:r>
      <w:r>
        <w:rPr/>
        <w:t>____________ Т.В. Якимова</w:t>
      </w:r>
    </w:p>
    <w:p>
      <w:pPr>
        <w:pStyle w:val="Normal"/>
        <w:spacing w:lineRule="auto" w:line="360"/>
        <w:rPr/>
      </w:pPr>
      <w:r>
        <w:rPr/>
        <w:t xml:space="preserve">                                                                                                           </w:t>
      </w:r>
      <w:r>
        <w:rPr/>
        <w:t>«_____» ___________ 20__ г.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>Перечень материалов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для подготовки студентов к промежуточной аттестации</w:t>
      </w:r>
    </w:p>
    <w:p>
      <w:pPr>
        <w:pStyle w:val="Normal"/>
        <w:jc w:val="center"/>
        <w:rPr/>
      </w:pPr>
      <w:r>
        <w:rPr>
          <w:sz w:val="32"/>
          <w:szCs w:val="32"/>
        </w:rPr>
        <w:t>в 2020-2021 учебном году</w:t>
      </w:r>
    </w:p>
    <w:p>
      <w:pPr>
        <w:pStyle w:val="Normal"/>
        <w:ind w:left="1620" w:right="0"/>
        <w:rPr/>
      </w:pPr>
      <w:r>
        <w:rPr/>
      </w:r>
    </w:p>
    <w:p>
      <w:pPr>
        <w:pStyle w:val="Normal"/>
        <w:rPr/>
      </w:pPr>
      <w:r>
        <w:rPr>
          <w:b/>
        </w:rPr>
        <w:t>МДК 05.</w:t>
      </w:r>
      <w:r>
        <w:rPr>
          <w:b/>
          <w:bCs/>
        </w:rPr>
        <w:t xml:space="preserve"> 02 «Технология контроля соответствия и надежности устройств и функциональных блоков мехатронных и автоматических устройств и систем управления</w:t>
      </w:r>
      <w:r>
        <w:rPr>
          <w:b/>
        </w:rPr>
        <w:t>»</w:t>
      </w:r>
    </w:p>
    <w:p>
      <w:pPr>
        <w:pStyle w:val="Normal"/>
        <w:ind w:left="142" w:right="0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left="142" w:right="0"/>
        <w:rPr/>
      </w:pPr>
      <w:r>
        <w:rPr/>
        <w:t>специальность (код, название): 15.02.07 «Автоматизация технологических процессов и производств (по отраслям)»</w:t>
      </w:r>
    </w:p>
    <w:p>
      <w:pPr>
        <w:pStyle w:val="Normal"/>
        <w:ind w:left="142" w:right="0"/>
        <w:rPr/>
      </w:pPr>
      <w:r>
        <w:rPr/>
      </w:r>
    </w:p>
    <w:p>
      <w:pPr>
        <w:pStyle w:val="Normal"/>
        <w:ind w:left="142" w:right="0"/>
        <w:rPr/>
      </w:pPr>
      <w:r>
        <w:rPr/>
        <w:t>курс: 4 курс</w:t>
      </w:r>
    </w:p>
    <w:p>
      <w:pPr>
        <w:pStyle w:val="Normal"/>
        <w:spacing w:lineRule="auto" w:line="360"/>
        <w:ind w:left="142" w:right="0"/>
        <w:rPr/>
      </w:pPr>
      <w:r>
        <w:rPr/>
        <w:t xml:space="preserve"> </w:t>
      </w:r>
    </w:p>
    <w:p>
      <w:pPr>
        <w:pStyle w:val="Normal"/>
        <w:spacing w:lineRule="auto" w:line="360"/>
        <w:ind w:left="142" w:right="0"/>
        <w:rPr/>
      </w:pPr>
      <w:r>
        <w:rPr/>
        <w:t>группа: АТП-41, 42</w:t>
      </w:r>
    </w:p>
    <w:p>
      <w:pPr>
        <w:pStyle w:val="Normal"/>
        <w:spacing w:lineRule="auto" w:line="360"/>
        <w:ind w:left="142" w:right="0"/>
        <w:rPr/>
      </w:pPr>
      <w:r>
        <w:rPr/>
        <w:t xml:space="preserve"> </w:t>
      </w:r>
    </w:p>
    <w:p>
      <w:pPr>
        <w:pStyle w:val="Normal"/>
        <w:ind w:left="142" w:right="0"/>
        <w:rPr/>
      </w:pPr>
      <w:r>
        <w:rPr/>
        <w:t>Составил преподаватель: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rPr/>
      </w:pPr>
      <w:r>
        <w:rPr/>
        <w:t>Рассмотрено на заседании</w:t>
      </w:r>
    </w:p>
    <w:p>
      <w:pPr>
        <w:pStyle w:val="Normal"/>
        <w:spacing w:lineRule="auto" w:line="360"/>
        <w:rPr/>
      </w:pPr>
      <w:r>
        <w:rPr/>
        <w:t>цикловой комиссии  технических   дисциплин</w:t>
      </w:r>
    </w:p>
    <w:p>
      <w:pPr>
        <w:pStyle w:val="Normal"/>
        <w:spacing w:lineRule="auto" w:line="360"/>
        <w:rPr/>
      </w:pPr>
      <w:r>
        <w:rPr/>
        <w:t>протокол № _____ от «_____» ______________ 20___г.</w:t>
      </w:r>
    </w:p>
    <w:p>
      <w:pPr>
        <w:pStyle w:val="Normal"/>
        <w:spacing w:lineRule="auto" w:line="360"/>
        <w:rPr/>
      </w:pPr>
      <w:r>
        <w:rPr/>
        <w:t>председатель _________________________________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г.Сальск</w:t>
      </w:r>
    </w:p>
    <w:p>
      <w:pPr>
        <w:pStyle w:val="Normal"/>
        <w:jc w:val="center"/>
        <w:rPr/>
      </w:pPr>
      <w:r>
        <w:rPr/>
        <w:t>20___г.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Контроль знаний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4119"/>
        <w:gridCol w:w="2418"/>
        <w:gridCol w:w="2233"/>
      </w:tblGrid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</w:rPr>
              <w:t>п/п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Контрольные работы, </w:t>
            </w:r>
            <w:r>
              <w:rPr>
                <w:b/>
              </w:rPr>
              <w:t>дифференцированный зачет, предусмотренные учебным планом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Раздел, тема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Сроки проведения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(№ урока)</w:t>
            </w:r>
          </w:p>
        </w:tc>
      </w:tr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>Дифференцированный зачет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Тема 2.1-2.3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 xml:space="preserve">Требования к результатам освоения основной профессиональной </w:t>
      </w:r>
    </w:p>
    <w:p>
      <w:pPr>
        <w:pStyle w:val="Normal"/>
        <w:ind w:left="720" w:right="0"/>
        <w:jc w:val="center"/>
        <w:rPr>
          <w:b/>
        </w:rPr>
      </w:pPr>
      <w:r>
        <w:rPr>
          <w:b/>
        </w:rPr>
        <w:t>образовательной программы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/>
      </w:pPr>
      <w:r>
        <w:rPr/>
        <w:t xml:space="preserve">В результате освоения </w:t>
      </w:r>
      <w:r>
        <w:rPr>
          <w:b/>
        </w:rPr>
        <w:t>ПМ05</w:t>
      </w:r>
      <w:r>
        <w:rPr/>
        <w:t xml:space="preserve"> </w:t>
      </w:r>
      <w:r>
        <w:rPr>
          <w:b/>
        </w:rPr>
        <w:t>МДК 05.</w:t>
      </w:r>
      <w:r>
        <w:rPr>
          <w:b/>
          <w:bCs/>
        </w:rPr>
        <w:t xml:space="preserve"> 02 «Технология контроля соответствия и надежности устройств и функциональных блоков мехатронных и автоматических устройств и систем управления</w:t>
      </w:r>
      <w:r>
        <w:rPr>
          <w:b/>
        </w:rPr>
        <w:t>»</w:t>
      </w:r>
      <w:r>
        <w:rPr/>
        <w:t xml:space="preserve"> обучающийся должен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иметь практический опыт: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расчета надежности систем управления и отдельных модулей и подсистем мехатронных устройств и систем; 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уметь: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рассчитывать надежность систем управления и отдельных модулей и подсистем мехатронных устройств и систем; 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z w:val="26"/>
          <w:szCs w:val="26"/>
        </w:rPr>
        <w:t xml:space="preserve">определять показатели </w:t>
      </w:r>
      <w:r>
        <w:rPr>
          <w:spacing w:val="-1"/>
          <w:sz w:val="26"/>
          <w:szCs w:val="26"/>
        </w:rPr>
        <w:t xml:space="preserve">надежности систем управления; 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 xml:space="preserve">осуществлять контроль соответствия устройств </w:t>
      </w:r>
      <w:r>
        <w:rPr>
          <w:sz w:val="26"/>
          <w:szCs w:val="26"/>
        </w:rPr>
        <w:t xml:space="preserve">и функциональных блоков мехатронных и автоматических устройств и систем </w:t>
      </w:r>
      <w:r>
        <w:rPr>
          <w:spacing w:val="-1"/>
          <w:sz w:val="26"/>
          <w:szCs w:val="26"/>
        </w:rPr>
        <w:t xml:space="preserve">управления; 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360"/>
        <w:ind w:firstLine="284" w:left="0" w:right="0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проводить различные виды инструктажей по охране труда;</w:t>
      </w:r>
    </w:p>
    <w:p>
      <w:pPr>
        <w:pStyle w:val="Normal"/>
        <w:shd w:fill="FFFFFF" w:val="clear"/>
        <w:spacing w:lineRule="auto" w:line="360"/>
        <w:ind w:firstLine="284" w:righ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знать: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показатели надежности; 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назначение элементов систем автоматизации и элементов мехатронных устройств и систем; 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360"/>
        <w:ind w:firstLine="284" w:left="0" w:right="0"/>
        <w:jc w:val="both"/>
        <w:rPr>
          <w:sz w:val="26"/>
          <w:szCs w:val="26"/>
        </w:rPr>
      </w:pPr>
      <w:r>
        <w:rPr>
          <w:sz w:val="26"/>
          <w:szCs w:val="26"/>
        </w:rPr>
        <w:t>нормативно-правовую документацию по охране труда.</w:t>
      </w:r>
      <w:r>
        <w:br w:type="page"/>
      </w:r>
    </w:p>
    <w:p>
      <w:pPr>
        <w:pStyle w:val="Normal"/>
        <w:spacing w:lineRule="auto" w:line="360"/>
        <w:ind w:left="720" w:right="0"/>
        <w:jc w:val="center"/>
        <w:rPr>
          <w:b/>
        </w:rPr>
      </w:pPr>
      <w:r>
        <w:rPr>
          <w:b/>
        </w:rPr>
        <w:t>3.  Перечень самостоятельных, практических и лабораторных  работ</w:t>
      </w:r>
    </w:p>
    <w:p>
      <w:pPr>
        <w:pStyle w:val="Normal"/>
        <w:widowControl w:val="false"/>
        <w:shd w:fill="FFFFFF" w:val="clear"/>
        <w:autoSpaceDE w:val="false"/>
        <w:jc w:val="center"/>
        <w:rPr>
          <w:b/>
          <w:color w:val="000000"/>
          <w:spacing w:val="-1"/>
          <w:sz w:val="32"/>
          <w:szCs w:val="32"/>
        </w:rPr>
      </w:pPr>
      <w:r>
        <w:rPr>
          <w:b/>
          <w:color w:val="000000"/>
          <w:spacing w:val="-1"/>
          <w:sz w:val="32"/>
          <w:szCs w:val="32"/>
        </w:rPr>
      </w:r>
    </w:p>
    <w:tbl>
      <w:tblPr>
        <w:tblW w:w="103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801"/>
        <w:gridCol w:w="2410"/>
        <w:gridCol w:w="2551"/>
      </w:tblGrid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Наименование тем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Тема практической работы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Тема лабораторной работы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Тема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самостоятельной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работы</w:t>
            </w:r>
          </w:p>
        </w:tc>
      </w:tr>
      <w:tr>
        <w:trPr>
          <w:trHeight w:val="555" w:hRule="atLeast"/>
        </w:trPr>
        <w:tc>
          <w:tcPr>
            <w:tcW w:w="103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ind w:firstLine="10" w:left="19" w:right="149"/>
              <w:rPr>
                <w:b/>
                <w:bCs/>
              </w:rPr>
            </w:pPr>
            <w:r>
              <w:rPr>
                <w:b/>
                <w:bCs/>
              </w:rPr>
              <w:t>МДК 05.02 Технология контроля соответствия и надежности устройств и функциональных блоков мехатронных и автоматических устройств и систем управления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Тема 2.1 Принципы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создания надежных систем</w:t>
            </w:r>
          </w:p>
        </w:tc>
        <w:tc>
          <w:tcPr>
            <w:tcW w:w="2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</w:rPr>
            </w:pPr>
            <w:r>
              <w:rPr>
                <w:b/>
              </w:rPr>
              <w:t>Практическая работа 11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Изучение структуры и состава производственной системы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ind w:left="10" w:right="0"/>
              <w:jc w:val="both"/>
              <w:rPr>
                <w:b/>
              </w:rPr>
            </w:pPr>
            <w:r>
              <w:rPr>
                <w:b/>
              </w:rPr>
              <w:t>Самостоятельная работа 7</w:t>
            </w:r>
          </w:p>
          <w:p>
            <w:pPr>
              <w:pStyle w:val="Normal"/>
              <w:shd w:fill="FFFFFF" w:val="clear"/>
              <w:ind w:left="10" w:right="0"/>
              <w:jc w:val="both"/>
              <w:rPr>
                <w:b/>
              </w:rPr>
            </w:pPr>
            <w:r>
              <w:rPr/>
              <w:t>Принципы разработки автоматизированных систем.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pacing w:val="1"/>
              </w:rPr>
            </w:pPr>
            <w:r>
              <w:rPr>
                <w:b/>
                <w:color w:val="000000"/>
                <w:spacing w:val="1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color w:val="000000"/>
                <w:spacing w:val="1"/>
              </w:rPr>
            </w:pPr>
            <w:r>
              <w:rPr>
                <w:b/>
                <w:color w:val="000000"/>
                <w:spacing w:val="1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8</w:t>
            </w:r>
          </w:p>
          <w:p>
            <w:pPr>
              <w:pStyle w:val="Normal"/>
              <w:rPr>
                <w:b/>
              </w:rPr>
            </w:pPr>
            <w:r>
              <w:rPr/>
              <w:t>Функционирование систем. Резервирование.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pacing w:val="1"/>
              </w:rPr>
            </w:pPr>
            <w:r>
              <w:rPr>
                <w:b/>
                <w:color w:val="000000"/>
                <w:spacing w:val="1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color w:val="000000"/>
                <w:spacing w:val="1"/>
              </w:rPr>
            </w:pPr>
            <w:r>
              <w:rPr>
                <w:b/>
                <w:color w:val="000000"/>
                <w:spacing w:val="1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Самостоятельная работа 9</w:t>
            </w:r>
          </w:p>
          <w:p>
            <w:pPr>
              <w:pStyle w:val="Normal"/>
              <w:shd w:fill="FFFFFF" w:val="clear"/>
              <w:jc w:val="both"/>
              <w:rPr>
                <w:b/>
                <w:bCs/>
              </w:rPr>
            </w:pPr>
            <w:r>
              <w:rPr/>
              <w:t>Источники воздействия энергий на систему.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ind w:firstLine="10" w:right="58"/>
              <w:rPr/>
            </w:pPr>
            <w:r>
              <w:rPr>
                <w:b/>
                <w:bCs/>
              </w:rPr>
              <w:t xml:space="preserve">Тема 2.2   Использование компьютерных информационных технологий </w:t>
            </w:r>
            <w:r>
              <w:rPr>
                <w:b/>
                <w:bCs/>
                <w:spacing w:val="-1"/>
              </w:rPr>
              <w:t xml:space="preserve">для обеспечения надежности на </w:t>
            </w:r>
            <w:r>
              <w:rPr>
                <w:b/>
                <w:bCs/>
              </w:rPr>
              <w:t>всех этапах жизненного цикла АСУ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ind w:firstLine="5" w:right="5"/>
              <w:jc w:val="both"/>
              <w:rPr>
                <w:b/>
              </w:rPr>
            </w:pPr>
            <w:r>
              <w:rPr>
                <w:b/>
              </w:rPr>
              <w:t>Практическая работа 12</w:t>
            </w:r>
          </w:p>
          <w:p>
            <w:pPr>
              <w:pStyle w:val="Normal"/>
              <w:shd w:fill="FFFFFF" w:val="clear"/>
              <w:ind w:firstLine="5" w:right="5"/>
              <w:jc w:val="both"/>
              <w:rPr/>
            </w:pPr>
            <w:r>
              <w:rPr/>
              <w:t>Информационное обеспечение надежности. Виды информации при обеспечении надежности. Схема информационных потоков.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10</w:t>
            </w:r>
          </w:p>
          <w:p>
            <w:pPr>
              <w:pStyle w:val="Normal"/>
              <w:rPr>
                <w:b/>
              </w:rPr>
            </w:pPr>
            <w:r>
              <w:rPr/>
              <w:t>Возможные состояния элементов.</w:t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13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>Составление   схемы   реляционной   модели   базы   данных   по   обеспечению   надежности   и показателей восстановления ТС на предприятии.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14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>Изучение специализированных пакетов ПК МВТУ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15</w:t>
            </w:r>
          </w:p>
          <w:p>
            <w:pPr>
              <w:pStyle w:val="Normal"/>
              <w:shd w:fill="FFFFFF" w:val="clear"/>
              <w:jc w:val="both"/>
              <w:rPr>
                <w:spacing w:val="-1"/>
              </w:rPr>
            </w:pPr>
            <w:r>
              <w:rPr>
                <w:spacing w:val="-1"/>
              </w:rPr>
              <w:t>Проектирование типовой АСР объекта мехатронной системы в среде ПК МВТУ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/>
            </w:pPr>
            <w:r>
              <w:rPr>
                <w:b/>
              </w:rPr>
              <w:t>Практическая работа 16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>Разработка системы обеспечения надежности для разработанной АСР.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17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>Моделирование и реализация цифровых систем связи.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18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>Повышение надежности технических и мехатронных систем.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rPr>
                <w:b/>
              </w:rPr>
            </w:pPr>
            <w:r>
              <w:rPr>
                <w:b/>
              </w:rPr>
              <w:t>Практическая работа 19</w:t>
            </w:r>
          </w:p>
          <w:p>
            <w:pPr>
              <w:pStyle w:val="Normal"/>
              <w:shd w:fill="FFFFFF" w:val="clear"/>
              <w:rPr/>
            </w:pPr>
            <w:r>
              <w:rPr/>
              <w:t>Составление схем тестовой и функциональной диагностики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55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ind w:left="34" w:right="0"/>
              <w:rPr>
                <w:b/>
              </w:rPr>
            </w:pPr>
            <w:r>
              <w:rPr>
                <w:b/>
              </w:rPr>
              <w:t>Тема 2.3 Роль диагностики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в повышении надежности</w:t>
            </w:r>
          </w:p>
          <w:p>
            <w:pPr>
              <w:pStyle w:val="Normal"/>
              <w:shd w:fill="FFFFFF" w:val="clear"/>
              <w:ind w:left="34" w:right="0"/>
              <w:rPr>
                <w:b/>
              </w:rPr>
            </w:pPr>
            <w:r>
              <w:rPr>
                <w:b/>
              </w:rPr>
              <w:t>и эффективности</w:t>
            </w:r>
          </w:p>
          <w:p>
            <w:pPr>
              <w:pStyle w:val="Normal"/>
              <w:shd w:fill="FFFFFF" w:val="clear"/>
              <w:ind w:left="34" w:right="0"/>
              <w:rPr>
                <w:b/>
              </w:rPr>
            </w:pPr>
            <w:r>
              <w:rPr>
                <w:b/>
              </w:rPr>
              <w:t>автоматизированного производства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rPr>
                <w:b/>
              </w:rPr>
            </w:pPr>
            <w:r>
              <w:rPr>
                <w:b/>
              </w:rPr>
              <w:t>Практическая работа 20</w:t>
            </w:r>
          </w:p>
          <w:p>
            <w:pPr>
              <w:pStyle w:val="Normal"/>
              <w:shd w:fill="FFFFFF" w:val="clear"/>
              <w:rPr/>
            </w:pPr>
            <w:r>
              <w:rPr/>
              <w:t>Автоматизированные системы диагностики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Самостоятельная работа 11</w:t>
            </w:r>
          </w:p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/>
              <w:t>Алгоритм генерации потока отказов и восстановлений по схеме испытаний Бернулли</w:t>
            </w:r>
          </w:p>
        </w:tc>
      </w:tr>
      <w:tr>
        <w:trPr>
          <w:trHeight w:val="555" w:hRule="atLeast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</w:rPr>
            </w:pPr>
            <w:r>
              <w:rPr>
                <w:b/>
              </w:rPr>
              <w:t>Практическая работа 21</w:t>
            </w:r>
          </w:p>
          <w:p>
            <w:pPr>
              <w:pStyle w:val="Normal"/>
              <w:shd w:fill="FFFFFF" w:val="clear"/>
              <w:rPr/>
            </w:pPr>
            <w:r>
              <w:rPr/>
              <w:t>Создание автоматизированной системы диагностирования для технологической системы</w:t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70" w:hRule="atLeast"/>
        </w:trPr>
        <w:tc>
          <w:tcPr>
            <w:tcW w:w="103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Форма контроля – </w:t>
            </w:r>
            <w:r>
              <w:rPr/>
              <w:t>Дифференцированный зачет</w:t>
            </w:r>
          </w:p>
        </w:tc>
      </w:tr>
    </w:tbl>
    <w:p>
      <w:pPr>
        <w:pStyle w:val="Normal"/>
        <w:widowControl w:val="false"/>
        <w:shd w:fill="FFFFFF" w:val="clear"/>
        <w:autoSpaceDE w:val="false"/>
        <w:jc w:val="center"/>
        <w:rPr>
          <w:b/>
          <w:color w:val="000000"/>
          <w:spacing w:val="-1"/>
          <w:sz w:val="32"/>
          <w:szCs w:val="32"/>
        </w:rPr>
      </w:pPr>
      <w:r>
        <w:rPr>
          <w:b/>
          <w:color w:val="000000"/>
          <w:spacing w:val="-1"/>
          <w:sz w:val="32"/>
          <w:szCs w:val="32"/>
        </w:rPr>
      </w:r>
    </w:p>
    <w:p>
      <w:pPr>
        <w:pStyle w:val="Normal"/>
        <w:widowControl w:val="false"/>
        <w:shd w:fill="FFFFFF" w:val="clear"/>
        <w:autoSpaceDE w:val="false"/>
        <w:jc w:val="center"/>
        <w:rPr>
          <w:b/>
          <w:color w:val="000000"/>
          <w:spacing w:val="-1"/>
          <w:sz w:val="32"/>
          <w:szCs w:val="32"/>
        </w:rPr>
      </w:pPr>
      <w:r>
        <w:rPr>
          <w:b/>
          <w:color w:val="000000"/>
          <w:spacing w:val="-1"/>
          <w:sz w:val="32"/>
          <w:szCs w:val="32"/>
        </w:rPr>
      </w:r>
      <w:r>
        <w:br w:type="page"/>
      </w:r>
    </w:p>
    <w:p>
      <w:pPr>
        <w:pStyle w:val="Normal"/>
        <w:ind w:left="720" w:right="0"/>
        <w:jc w:val="center"/>
        <w:rPr/>
      </w:pPr>
      <w:r>
        <w:rPr>
          <w:b/>
        </w:rPr>
        <w:t>4. Вопросы к дифференцированному зачету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Алгоритм и типовые процедуры процесса автоматизированного проектирования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Принципы и методы создания надежных технологических систем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Способы повышения надежности АСУ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Повышение надежности АСУ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Концепции использования информационных технологий для обеспечения надежности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Информационное обеспечение надежности на этапах жизненного цикла изделий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Применение компьютерных локальных и глобальных сетей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Обеспечение   надежности,   эксплуатационного   и   ремонтного   обслуживания   в   среде CALS/ИПИ-технологий.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ind w:hanging="360" w:left="720" w:right="91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Информационные технологии разработки и проектирования автоматических систем регулирования и управления технологическим оборудованием, автоматизированными и мехатронными системами.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Основные понятия и термины в области диагностики.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Объекты и параметры диагностирования технологических систем</w:t>
      </w:r>
    </w:p>
    <w:p>
      <w:pPr>
        <w:pStyle w:val="Style23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Виды и методы технической диагностики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Классификация методов технической диагностики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Предэксплуатационная и эксплуатационная диагностика</w:t>
      </w:r>
    </w:p>
    <w:p>
      <w:pPr>
        <w:pStyle w:val="Style23"/>
        <w:numPr>
          <w:ilvl w:val="0"/>
          <w:numId w:val="3"/>
        </w:numPr>
        <w:shd w:fill="FFFFFF" w:val="clear"/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Система диагностики на базе микропроцессоров и персональных компьютеров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Поиск оптимальных структур и параметров проектируемого объекта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Реализация математических моделей на ЭВМ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Повышение износостойкости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Особенности проявления во времени внезапных и постепенных отказов. 15. Влияние надежности на эффективность автоматизированных систем.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Задачи автоматизации</w:t>
      </w:r>
    </w:p>
    <w:p>
      <w:pPr>
        <w:pStyle w:val="Style23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Зависимость видов повреждений материала от процесса старения.</w:t>
      </w:r>
      <w:r>
        <w:br w:type="page"/>
      </w:r>
    </w:p>
    <w:p>
      <w:pPr>
        <w:pStyle w:val="Normal"/>
        <w:ind w:left="720" w:right="0"/>
        <w:jc w:val="center"/>
        <w:rPr/>
      </w:pPr>
      <w:r>
        <w:rPr>
          <w:b/>
        </w:rPr>
        <w:t>5. Критерии оценки знаний и умений учащихся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 xml:space="preserve"> </w:t>
      </w:r>
      <w:r>
        <w:rPr>
          <w:b/>
        </w:rPr>
        <w:t>«ОТЛИЧНО»</w:t>
      </w:r>
      <w:r>
        <w:rPr/>
        <w:t xml:space="preserve">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>
          <w:b/>
        </w:rPr>
        <w:t>«ХОРОШО»</w:t>
      </w:r>
      <w:r>
        <w:rPr/>
        <w:t xml:space="preserve">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  <w:r>
        <w:rPr>
          <w:b/>
        </w:rPr>
        <w:t>«УДОВЛЕТВОРИТЕЛЬНО»</w:t>
      </w:r>
      <w:r>
        <w:rPr/>
        <w:t xml:space="preserve">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 xml:space="preserve"> </w:t>
      </w:r>
      <w:r>
        <w:rPr>
          <w:b/>
        </w:rPr>
        <w:t>«НЕУДОВЛЕТВОРИТЕЛЬНО»</w:t>
      </w:r>
      <w:r>
        <w:rPr/>
        <w:t xml:space="preserve">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 </w:t>
      </w:r>
      <w:r>
        <w:rPr>
          <w:b/>
        </w:rPr>
        <w:t>Требования к оценке: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быть объективной и справедливой, ясной и понятной для обучаемого,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выполнять стимулирующую функцию,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оценка должна быть всесторонней.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При оценке знаний учитывается: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объем знаний по учебному предмету (вопросу),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понимание изученного, самостоятельность суждений, убежденность в излагаемом,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степень систематизации и глубины знаний,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действенность знаний, умение применять их с целью решения практических задач.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При оценке навыков и умений учитываются: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содержание навыков и умений,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точность, прочность, гибкость навыков и умений,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возможность применять навыки и умения на практике,</w:t>
      </w:r>
    </w:p>
    <w:p>
      <w:pPr>
        <w:pStyle w:val="Normal"/>
        <w:jc w:val="both"/>
        <w:rPr/>
      </w:pPr>
      <w:r>
        <w:rPr/>
        <w:t xml:space="preserve">      </w:t>
      </w:r>
      <w:r>
        <w:rPr/>
        <w:t>- наличие ошибок, их количество, характер и влияние на работу.</w:t>
      </w:r>
      <w:r>
        <w:br w:type="page"/>
      </w:r>
    </w:p>
    <w:p>
      <w:pPr>
        <w:pStyle w:val="Normal"/>
        <w:jc w:val="center"/>
        <w:rPr/>
      </w:pPr>
      <w:r>
        <w:rPr/>
        <w:t>6. Студенты группы    _</w:t>
      </w:r>
      <w:r>
        <w:rPr>
          <w:u w:val="single"/>
        </w:rPr>
        <w:t>АТП-41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Бабнюхов Алексей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Бадиров Аслан Икрамжонович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Божко Роман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Быков Артем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Венецкий Владимир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Борис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Сергей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Дупак Денис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Дьяченко Дмитрий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Кирнос Роман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Кишка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Кравцов Дмитрий Анатольевич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Кузьменко Егор Николаевич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Кузьмин Евгений Викторович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Лютов Иван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Плаунов Игорь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Романюкин Алексей Алексеевич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Руденко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Рыбас Данил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Усиченко Александра Александровна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Шарапов Богдан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Студенты группы    _</w:t>
      </w:r>
      <w:r>
        <w:rPr>
          <w:u w:val="single"/>
        </w:rPr>
        <w:t>АТП-42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Аганин Александр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Алексеев Денис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Белоотченко Максим Валерьевич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Боярских Евгений Игоревич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Горбиков Сергей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Грищенко Кристина Сергеевна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Евтушенко Иван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Емельяненко Вадим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Константинов Владимир Геннадьевич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Лаптев Кирилл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Мацегоров Алексей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Остапенко Владимир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Острижный Виктор Витальевич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Пидаев Гаджи Абдурахманович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Самойличенко Сергей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Степанько Артем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Султанов Денис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Толстой Антон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Фоменко Андрей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Цветков Никита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134" w:right="850" w:gutter="0" w:header="0" w:top="1134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bCs w:val="false"/>
        <w:rFonts w:cs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Times New Roman" w:hAnsi="Times New Roman" w:cs="Times New Roman"/>
      <w:b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cs="Times New Roman"/>
      <w:b w:val="false"/>
      <w:bCs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>
      <w:rFonts w:cs="Times New Roman"/>
      <w:b w:val="false"/>
      <w:bCs w:val="false"/>
    </w:rPr>
  </w:style>
  <w:style w:type="character" w:styleId="WW8Num17z0">
    <w:name w:val="WW8Num17z0"/>
    <w:qFormat/>
    <w:rPr>
      <w:rFonts w:ascii="Times New Roman" w:hAnsi="Times New Roman" w:eastAsia="Times New Roman" w:cs="Times New Roman"/>
      <w:sz w:val="24"/>
      <w:szCs w:val="24"/>
    </w:rPr>
  </w:style>
  <w:style w:type="character" w:styleId="WW8Num18z0">
    <w:name w:val="WW8Num18z0"/>
    <w:qFormat/>
    <w:rPr>
      <w:sz w:val="28"/>
      <w:szCs w:val="28"/>
    </w:rPr>
  </w:style>
  <w:style w:type="character" w:styleId="WW8Num19z0">
    <w:name w:val="WW8Num19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sz w:val="28"/>
      <w:szCs w:val="28"/>
    </w:rPr>
  </w:style>
  <w:style w:type="character" w:styleId="WW8Num25z0">
    <w:name w:val="WW8Num25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</w:rPr>
  </w:style>
  <w:style w:type="character" w:styleId="WW8Num32z0">
    <w:name w:val="WW8Num32z0"/>
    <w:qFormat/>
    <w:rPr>
      <w:sz w:val="24"/>
    </w:rPr>
  </w:style>
  <w:style w:type="character" w:styleId="Style14">
    <w:name w:val="Основной шрифт абзаца"/>
    <w:qFormat/>
    <w:rPr/>
  </w:style>
  <w:style w:type="character" w:styleId="1">
    <w:name w:val="Заголовок №1_"/>
    <w:qFormat/>
    <w:rPr>
      <w:b/>
      <w:bCs/>
      <w:spacing w:val="10"/>
      <w:sz w:val="25"/>
      <w:szCs w:val="25"/>
      <w:lang w:bidi="ar-SA"/>
    </w:rPr>
  </w:style>
  <w:style w:type="character" w:styleId="Style15">
    <w:name w:val="Основной текст Знак"/>
    <w:qFormat/>
    <w:rPr>
      <w:sz w:val="24"/>
      <w:szCs w:val="24"/>
    </w:rPr>
  </w:style>
  <w:style w:type="character" w:styleId="Style16">
    <w:name w:val="Подзаголовок Знак"/>
    <w:qFormat/>
    <w:rPr>
      <w:b/>
      <w:sz w:val="24"/>
    </w:rPr>
  </w:style>
  <w:style w:type="character" w:styleId="Style17">
    <w:name w:val="Название Знак"/>
    <w:qFormat/>
    <w:rPr>
      <w:b/>
      <w:bCs/>
      <w:sz w:val="28"/>
    </w:rPr>
  </w:style>
  <w:style w:type="character" w:styleId="Style18">
    <w:name w:val="Без интервала Знак"/>
    <w:qFormat/>
    <w:rPr>
      <w:rFonts w:ascii="Calibri" w:hAnsi="Calibri" w:cs="Calibri"/>
      <w:sz w:val="22"/>
      <w:szCs w:val="22"/>
      <w:lang w:val="ru-RU" w:bidi="ar-SA"/>
    </w:rPr>
  </w:style>
  <w:style w:type="character" w:styleId="Style19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8"/>
      <w:szCs w:val="20"/>
      <w:lang w:val="en-US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21">
    <w:name w:val="Содержимое таблицы"/>
    <w:basedOn w:val="Normal"/>
    <w:qFormat/>
    <w:pPr>
      <w:suppressLineNumbers/>
      <w:suppressAutoHyphens w:val="true"/>
    </w:pPr>
    <w:rPr/>
  </w:style>
  <w:style w:type="paragraph" w:styleId="Style22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">
    <w:name w:val="Основной текст 2"/>
    <w:basedOn w:val="Normal"/>
    <w:qFormat/>
    <w:pPr/>
    <w:rPr>
      <w:sz w:val="28"/>
      <w:szCs w:val="20"/>
    </w:rPr>
  </w:style>
  <w:style w:type="paragraph" w:styleId="11">
    <w:name w:val="Заголовок №1"/>
    <w:basedOn w:val="Normal"/>
    <w:qFormat/>
    <w:pPr>
      <w:shd w:fill="FFFFFF" w:val="clear"/>
      <w:spacing w:lineRule="atLeast" w:line="240" w:before="0" w:after="240"/>
      <w:outlineLvl w:val="0"/>
    </w:pPr>
    <w:rPr>
      <w:b/>
      <w:bCs/>
      <w:spacing w:val="10"/>
      <w:sz w:val="25"/>
      <w:szCs w:val="25"/>
      <w:lang w:val="en-US"/>
    </w:rPr>
  </w:style>
  <w:style w:type="paragraph" w:styleId="Subtitle">
    <w:name w:val="Subtitle"/>
    <w:basedOn w:val="Normal"/>
    <w:next w:val="BodyText"/>
    <w:qFormat/>
    <w:pPr>
      <w:spacing w:lineRule="auto" w:line="360"/>
      <w:jc w:val="center"/>
    </w:pPr>
    <w:rPr>
      <w:b/>
      <w:szCs w:val="20"/>
      <w:lang w:val="en-US"/>
    </w:rPr>
  </w:style>
  <w:style w:type="paragraph" w:styleId="31">
    <w:name w:val="Основной текст с отступом 31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eastAsia="Calibri" w:cs="Calibri"/>
      <w:sz w:val="22"/>
      <w:szCs w:val="22"/>
    </w:rPr>
  </w:style>
  <w:style w:type="paragraph" w:styleId="3">
    <w:name w:val="заголовок 3"/>
    <w:basedOn w:val="Normal"/>
    <w:next w:val="Normal"/>
    <w:qFormat/>
    <w:pPr>
      <w:keepNext w:val="true"/>
      <w:widowControl w:val="false"/>
      <w:ind w:firstLine="851" w:left="0" w:right="0"/>
    </w:pPr>
    <w:rPr>
      <w:szCs w:val="20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21"/>
    <w:basedOn w:val="Normal"/>
    <w:qFormat/>
    <w:pPr>
      <w:ind w:hanging="0" w:left="0" w:right="-414"/>
    </w:pPr>
    <w:rPr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2019-10-14T12:54:00Z</dcterms:created>
  <dc:creator>3</dc:creator>
  <dc:description/>
  <cp:keywords/>
  <dc:language>en-US</dc:language>
  <cp:lastModifiedBy>5</cp:lastModifiedBy>
  <cp:lastPrinted>2017-10-30T12:53:00Z</cp:lastPrinted>
  <dcterms:modified xsi:type="dcterms:W3CDTF">2022-10-25T06:16:00Z</dcterms:modified>
  <cp:revision>11</cp:revision>
  <dc:subject/>
  <dc:title/>
</cp:coreProperties>
</file>