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Новые тестовые вопросы для ФОС</w:t>
      </w:r>
    </w:p>
    <w:p>
      <w:pPr>
        <w:jc w:val="center"/>
      </w:pPr>
      <w:r>
        <w:rPr>
          <w:rFonts w:ascii="Times New Roman" w:hAnsi="Times New Roman"/>
          <w:sz w:val="24"/>
        </w:rPr>
        <w:t>Наладчик КИПиА 6-7 разр</w:t>
      </w:r>
    </w:p>
    <w:p>
      <w:pPr>
        <w:jc w:val="center"/>
      </w:pPr>
      <w:r>
        <w:rPr>
          <w:color w:val="646464"/>
          <w:sz w:val="20"/>
        </w:rPr>
        <w:t>Всего вопросов: 230 | август 2026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Блок 1. Поверка средств измерений (21 вопросов)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В соответствии с ФЗ-102 (с изм. 18-ФЗ), какая организация проводит аттестацию первичных референтных методик измерений, применяемых в сфере государственного регулирования?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Государственные научные метрологические институты.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Юридические лица, аккредитованные в национальной системе аккредитации.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Испытательные лаборатории, аккредитованные в области поверки СИ.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Органы Федерального государственного метрологического контроля (надзора).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ФЗ-102, статья 5, часть 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Согласно 18-ФЗ, какие данные о физических константах и свойствах веществ должны использоваться в первичных референтных и референтных методиках измерений?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Стандартные справочные данные, утвержденные и опубликованные в ФИФ ЕИ.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Данные, принятые международными организациями с участием РФ.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Данные, предоставленные изготовителем средства измерений.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Справочные данные из эксплуатационной документации на СИ.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ФЗ-102, статья 5, часть 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Что является основным результатом аттестации испытательного оборудования согласно ГОСТ Р 8.568-2017?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Определение точностных характеристик и установление пригодности к эксплуатации.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Регистрация оборудования в государственном реестре средств измерений.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Утверждение методики проведения испытаний.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Оформление паспорта средства измерений.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Р 8.568-2017, 3.1.2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В соответствии с изменениями 18-ФЗ, как определяется свойство результата измерения, заключающееся в установлении его связи с государственным эталоном?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Прослеживаемость.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Валидация.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Калибровка.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Верификация.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ФЗ-102, статья 2, пункт 18 (в ред. 18-ФЗ)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Какой документ, согласно ГОСТ Р 8.568-2017, оформляется по результатам первичной аттестации испытательного оборудования и подтверждает его соответствие требованиям?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Аттестат.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Свидетельство о поверке.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Протокол испытаний.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Паспорт качества.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Р 8.568-2017, 5.1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Согласно ФЗ-102 (с изм. 18-ФЗ), в каких случаях результаты измерений, полученные с применением иностранных средств измерений, могут быть допущены к использованию в сфере госрегулирования?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При наличии документально подтвержденной прослеживаемости к госэталону и соответствия обязательным требованиям.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При наличии сертификата соответствия требованиям Таможенного союза.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При прохождении обязательной государственной поверки в аккредитованной лаборатории РФ.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При наличии заключения производителя о соответствии метрологическим характеристикам.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ФЗ-102, статья 5, часть 1.1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7. </w:t>
      </w:r>
      <w:r>
        <w:rPr>
          <w:rFonts w:ascii="Times New Roman" w:hAnsi="Times New Roman"/>
          <w:sz w:val="22"/>
        </w:rPr>
        <w:t>Что из перечисленного НЕ является составной частью испытательного оборудования по определению ГОСТ Р 8.568-2017?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Испытуемое изделие.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Средства контроля параметров испытываемой продукции.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Программное обеспечение.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Устройство для воспроизведения условий испытаний.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Р 8.568-2017, 3.1.1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8. </w:t>
      </w:r>
      <w:r>
        <w:rPr>
          <w:rFonts w:ascii="Times New Roman" w:hAnsi="Times New Roman"/>
          <w:sz w:val="22"/>
        </w:rPr>
        <w:t>В каком случае методика (метод) измерений НЕ подлежит аттестации согласно ФЗ-102 (с изм. 18-ФЗ)?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Когда она предназначена для выполнения прямых измерений и внесена в эксплуатационную документацию на СИ.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Когда она применяется для нерегулируемых измерений.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Когда она разработана изготовителем средства измерений.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Когда она используется только для внутренних целей предприятия.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ФЗ-102, статья 5, часть 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9. </w:t>
      </w:r>
      <w:r>
        <w:rPr>
          <w:rFonts w:ascii="Times New Roman" w:hAnsi="Times New Roman"/>
          <w:sz w:val="22"/>
        </w:rPr>
        <w:t>Какие документы разрабатываются для проведения аттестации испытательного оборудования согласно ГОСТ Р 8.568-2017?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Программа и методика аттестации.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Техническое задание и регламент.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Инструкция по эксплуатации и паспорт.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План-график работ и смета.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ГОСТ Р 8.568-2017, 8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10. </w:t>
      </w:r>
      <w:r>
        <w:rPr>
          <w:rFonts w:ascii="Times New Roman" w:hAnsi="Times New Roman"/>
          <w:sz w:val="22"/>
        </w:rPr>
        <w:t>Что из перечисленного относится к новой сфере государственного регулирования обеспечения единства измерений, введенной 18-ФЗ?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Производство, использование и обращение драгоценных металлов и камней.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Проведение банковских операций.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Выполнение государственных учетных операций.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Деятельность в области информационных технологий.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ФЗ-102, статья 1, часть 3, пункт 20 (в ред. 18-ФЗ)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11. </w:t>
      </w:r>
      <w:r>
        <w:rPr>
          <w:rFonts w:ascii="Times New Roman" w:hAnsi="Times New Roman"/>
          <w:sz w:val="22"/>
        </w:rPr>
        <w:t>В каком случае аттестация испытательного оборудования по ГОСТ Р 8.568-2017 является повторной?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После ремонта или модернизации, повлиявших на метрологические характеристики.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При изменении наименования организации-владельца.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По требованию заказчика до истечения срока действия предыдущего аттестата.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При изменении формы протокола аттестации.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Р 8.568-2017, 7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12. </w:t>
      </w:r>
      <w:r>
        <w:rPr>
          <w:rFonts w:ascii="Times New Roman" w:hAnsi="Times New Roman"/>
          <w:sz w:val="22"/>
        </w:rPr>
        <w:t>Что является источником информации о стандартизированных справочных данных о физических константах, утвержденных в соответствии с 18-ФЗ?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Федеральный информационный фонд по обеспечению единства измерений (ФИФ ЕИ).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Официальный сайт Федерального агентства по техническому регулированию и метрологии.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Эксплуатационная документация на средства измерений.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Библиотека стандартов и нормативных документов.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ФЗ-102, статья 2, пункт 22.1 (в ред. 18-ФЗ)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13. </w:t>
      </w:r>
      <w:r>
        <w:rPr>
          <w:rFonts w:ascii="Times New Roman" w:hAnsi="Times New Roman"/>
          <w:sz w:val="22"/>
        </w:rPr>
        <w:t>Какое основное отличие поверки средств измерений от аттестации испытательного оборудования по ГОСТ Р 8.568-2017?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Поверка определяет пригодность СИ к применению, аттестация определяет точностные характеристики ИО.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Аттестация проводится только для эталонов, а поверка для рабочих СИ.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Поверка проводится в аккредитованных лабораториях, а аттестация только в метрологических институтах.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Результатом поверки является свидетельство, а аттестации – протокол.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Р 8.568-2017, 3.1.2; ФЗ-102, статья 2, пункт 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14. </w:t>
      </w:r>
      <w:r>
        <w:rPr>
          <w:rFonts w:ascii="Times New Roman" w:hAnsi="Times New Roman"/>
          <w:sz w:val="22"/>
        </w:rPr>
        <w:t>Кто такой «заказчик» в контексте проведения аттестации испытательного оборудования по ГОСТ Р 8.568-2017?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Юридическое лицо или ИП, заказывающее услугу по аттестации.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Государственный орган, осуществляющий метрологический контроль.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Изготовитель испытательного оборудования.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Сотрудник метрологической службы предприятия-владельца ИО.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Р 8.568-2017, 3.1.5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15. </w:t>
      </w:r>
      <w:r>
        <w:rPr>
          <w:rFonts w:ascii="Times New Roman" w:hAnsi="Times New Roman"/>
          <w:sz w:val="22"/>
        </w:rPr>
        <w:t>Какой документ, согласно ФЗ-102, является основным юридическим основанием для обеспечения единства измерений и защиты прав граждан и государства?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Федеральный закон «Об обеспечении единства измерений».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ГОСТ Р 8.568-2017 «Аттестация испытательного оборудования».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Федеральный закон «О техническом регулировании».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Постановление Правительства РФ о метрологии.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ФЗ-102, статья 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16. </w:t>
      </w:r>
      <w:r>
        <w:rPr>
          <w:rFonts w:ascii="Times New Roman" w:hAnsi="Times New Roman"/>
          <w:sz w:val="22"/>
        </w:rPr>
        <w:t>Какой орган исполнительной власти устанавливает порядок признания результатов измерений, полученных с применением иностранных СИ, согласно 18-ФЗ?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Федеральный орган исполнительной власти, осуществляющий функции в области обеспечения единства измерений.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Министерство экономического развития РФ.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Федеральная служба по экологическому, технологическому и атомному надзору (Ростехнадзор).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Федеральная таможенная служба (ФТС).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ФЗ-102, статья 5, часть 4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17. </w:t>
      </w:r>
      <w:r>
        <w:rPr>
          <w:rFonts w:ascii="Times New Roman" w:hAnsi="Times New Roman"/>
          <w:sz w:val="22"/>
        </w:rPr>
        <w:t>Что из перечисленного является обязательным требованием при проведении аттестации испытательного оборудования по ГОСТ Р 8.568-2017?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Разработка и утверждение программы и методики аттестации.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Наличие аккредитации исполнителя в области поверки СИ.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Обязательное использование государственного эталона для сличений.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Проведение аттестации ежегодно.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Р 8.568-2017, 8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18. </w:t>
      </w:r>
      <w:r>
        <w:rPr>
          <w:rFonts w:ascii="Times New Roman" w:hAnsi="Times New Roman"/>
          <w:sz w:val="22"/>
        </w:rPr>
        <w:t>Какое изменение внесено в ФЗ-102 18-ФЗ в отношении метрологических служб?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Расширено определение, включив в него ИП и его работников.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Установлено требование обязательной аккредитации метрологических служб.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Введено требование о проведении ежегодной проверки их деятельности.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Исключена возможность создания метрологической службы на уровне подразделения.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ФЗ-102, статья 2, пункт 12 (в ред. 18-ФЗ)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19. </w:t>
      </w:r>
      <w:r>
        <w:rPr>
          <w:rFonts w:ascii="Times New Roman" w:hAnsi="Times New Roman"/>
          <w:sz w:val="22"/>
        </w:rPr>
        <w:t>Что является целью проведения периодической аттестации испытательного оборудования по ГОСТ Р 8.568-2017?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Контроль сохранения точностных характеристик в процессе эксплуатации.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Внесение изменений в конструкцию оборудования.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Обучение персонала работе с оборудованием.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Регистрация оборудования в реестре ИО.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Р 8.568-2017, 6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20. </w:t>
      </w:r>
      <w:r>
        <w:rPr>
          <w:rFonts w:ascii="Times New Roman" w:hAnsi="Times New Roman"/>
          <w:sz w:val="22"/>
        </w:rPr>
        <w:t>Согласно 18-ФЗ, как должен быть выражен результат измерений, выполненного в сфере государственного регулирования?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В единицах величин, допущенных к применению в Российской Федерации.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В СИ, указанных в технической документации на средство измерений.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В любых удобных для оператора единицах с последующим пересчетом.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В единицах величин, принятых в международной практике.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ФЗ-102, статья 5, часть 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21. </w:t>
      </w:r>
      <w:r>
        <w:rPr>
          <w:rFonts w:ascii="Times New Roman" w:hAnsi="Times New Roman"/>
          <w:sz w:val="22"/>
        </w:rPr>
        <w:t>Что из перечисленного относится к метрологически значимой части программного обеспечения испытательного оборудования по ГОСТ Р 8.568-2017?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Программы, выполняющие обработку измерительной информации.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Операционная система, на которой работает оборудование.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Текстовый редактор для составления отчетов.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Антивирусное программное обеспечение.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ГОСТ Р 8.568-2017, 3.1.11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Блок 2. Взрывозащита электрооборудования (20 вопросов)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22. </w:t>
      </w:r>
      <w:r>
        <w:rPr>
          <w:rFonts w:ascii="Times New Roman" w:hAnsi="Times New Roman"/>
          <w:sz w:val="22"/>
        </w:rPr>
        <w:t>Согласно ГОСТ IEC 60079-14, на какие классы подразделяются взрывоопасные зоны по газу и пару?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На классы 0, 1 и 2 в зависимости от частоты и длительности присутствия взрывоопасной среды.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На классы I, II и III в зависимости от группы взрывоопасной смеси.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На классы A, B и C в зависимости от температурного класса оборудования.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На классы Ga, Gb и Gc в зависимости от уровня взрывозащиты оборудования.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ГОСТ IEC 60079-14-2013, раздел 4.1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23. </w:t>
      </w:r>
      <w:r>
        <w:rPr>
          <w:rFonts w:ascii="Times New Roman" w:hAnsi="Times New Roman"/>
          <w:sz w:val="22"/>
        </w:rPr>
        <w:t>Какой уровень взрывозащиты оборудования (EPL) допускается использовать во взрывоопасной зоне класса 1 согласно таблице 1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Ga или Gb.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Только Ga.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Gb или Gc.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Любой уровень взрывозащиты.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IEC 60079-14-2013, таблица 1, пункт 5.3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24. </w:t>
      </w:r>
      <w:r>
        <w:rPr>
          <w:rFonts w:ascii="Times New Roman" w:hAnsi="Times New Roman"/>
          <w:sz w:val="22"/>
        </w:rPr>
        <w:t>Какие виды взрывозащиты относятся к уровню взрывозащиты оборудования Gb согласно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Взрывонепроницаемая оболочка "d", повышенная защита "e", искробезопасная цепь "ib", масляное заполнение "o", оболочки под избыточным давлением "p".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Только искробезопасная цепь "ia" и герметизация компаундом "ma".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Неискрящее оборудование "n" и ограниченный пропуск газа "nR".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Только защита оболочкой "t" и кварцевое заполнение "q".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IEC 60079-14-2013, таблица 2, пункт 5.4.2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25. </w:t>
      </w:r>
      <w:r>
        <w:rPr>
          <w:rFonts w:ascii="Times New Roman" w:hAnsi="Times New Roman"/>
          <w:sz w:val="22"/>
        </w:rPr>
        <w:t>Какой вид взрывозащиты обеспечивает уровень взрывозащиты Ga, предназначенный для зоны класса 0?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Искробезопасная электрическая цепь "ia".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Взрывонепроницаемая оболочка "d".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Повышенная защита "e".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Неискрящее оборудование "nA".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IEC 60079-14-2013, таблица 2, пункт 5.4.2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26. </w:t>
      </w:r>
      <w:r>
        <w:rPr>
          <w:rFonts w:ascii="Times New Roman" w:hAnsi="Times New Roman"/>
          <w:sz w:val="22"/>
        </w:rPr>
        <w:t>Для взрывоопасной зоны класса 0 по газу какие виды взрывозащиты оборудования разрешены согласно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Только уровень взрывозащиты Ga.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Уровни Ga, Gb или Gc.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Только Gb или Gc.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Любой вид взрывозащиты при наличии сертификата.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IEC 60079-14-2013, таблица 1, пункт 5.3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27. </w:t>
      </w:r>
      <w:r>
        <w:rPr>
          <w:rFonts w:ascii="Times New Roman" w:hAnsi="Times New Roman"/>
          <w:sz w:val="22"/>
        </w:rPr>
        <w:t>Какие виды взрывозащиты относятся к уровню Gc согласно таблице 2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Искрящее оборудование "nC", неискрящее оборудование "nA", ограниченный пропуск газа "nR", искробезопасная цепь "ic".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Взрывонепроницаемая оболочка "d" и повышенная защита "e".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Масляное заполнение "o" и кварцевое заполнение "q".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Оболочки под избыточным давлением "pxb" и "pyb".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IEC 60079-14-2013, таблица 2, пункт 5.4.2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28. </w:t>
      </w:r>
      <w:r>
        <w:rPr>
          <w:rFonts w:ascii="Times New Roman" w:hAnsi="Times New Roman"/>
          <w:sz w:val="22"/>
        </w:rPr>
        <w:t>Что означает маркировка взрывозащиты "X" на электрооборудовании согласно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Наличие особых условий применения, указанных в документации изготовителя.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Оборудование предназначено только для зоны класса 0.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Оборудование имеет двойную независимую сертификацию.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Оборудование допускает эксплуатацию при температуре ниже минус 20 °C.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IEC 60079-14-2013, раздел 4.2, пункт 15.1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29. </w:t>
      </w:r>
      <w:r>
        <w:rPr>
          <w:rFonts w:ascii="Times New Roman" w:hAnsi="Times New Roman"/>
          <w:sz w:val="22"/>
        </w:rPr>
        <w:t>Согласно ГОСТ IEC 60079-14, какие температурные классы оборудования допускается применять при температуре самовоспламенения газа или пара более 200 °C?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Т3, Т4, Т5, Т6.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Только Т1 и Т2.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Только Т5 и Т6.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Все температурные классы от Т1 до Т6.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IEC 60079-14-2013, таблица 4, пункт 5.6.2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30. </w:t>
      </w:r>
      <w:r>
        <w:rPr>
          <w:rFonts w:ascii="Times New Roman" w:hAnsi="Times New Roman"/>
          <w:sz w:val="22"/>
        </w:rPr>
        <w:t>Какой температурный класс оборудования допускается применять при температуре самовоспламенения газа или паров более 85 °C согласно таблице 4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Только Т6.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Т1, Т2, Т3, Т4, Т5, Т6.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Т5 и Т6.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Т4, Т5 и Т6.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ГОСТ IEC 60079-14-2013, таблица 4, пункт 5.6.2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31. </w:t>
      </w:r>
      <w:r>
        <w:rPr>
          <w:rFonts w:ascii="Times New Roman" w:hAnsi="Times New Roman"/>
          <w:sz w:val="22"/>
        </w:rPr>
        <w:t>Какое электрооборудование по группе допускается использовать для взрывоопасной смеси газа категории IIB согласно таблице 3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Группы II, IIB или IIC.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Только группы IIB.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Только группы IIC.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Группы IIA или IIB.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IEC 60079-14-2013, таблица 3, пункт 5.5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32. </w:t>
      </w:r>
      <w:r>
        <w:rPr>
          <w:rFonts w:ascii="Times New Roman" w:hAnsi="Times New Roman"/>
          <w:sz w:val="22"/>
        </w:rPr>
        <w:t>Согласно ГОСТ IEC 60079-14, при какой температуре окружающей среде электрооборудование может использоваться без указания диапазона температур в маркировке?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От минус 20 °C до плюс 40 °C.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От минус 40 °C до плюс 60 °C.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От 0 °C до плюс 50 °C.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От минус 10 °C до плюс 55 °C.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ГОСТ IEC 60079-14-2013, пункт 5.6.1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33. </w:t>
      </w:r>
      <w:r>
        <w:rPr>
          <w:rFonts w:ascii="Times New Roman" w:hAnsi="Times New Roman"/>
          <w:sz w:val="22"/>
        </w:rPr>
        <w:t>Какое требование предъявляется к неиспользуемым отверстиям в оболочке электрооборудования согласно разделу 10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Должны быть закрыты заглушками, обеспечивающими степень защиты не ниже IP54 и снятыми только с помощью инструмента.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Допускается оставлять открытыми при наличии вентиляции.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Должны быть заварены аргонной сваркой.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Допускается заклеивать изоляционной лентой.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ГОСТ IEC 60079-14-2013, пункт 10.5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34. </w:t>
      </w:r>
      <w:r>
        <w:rPr>
          <w:rFonts w:ascii="Times New Roman" w:hAnsi="Times New Roman"/>
          <w:sz w:val="22"/>
        </w:rPr>
        <w:t>Сколько полных ниток многозаходной резьбы должно находиться в соединении при установке кабельного ввода с видом взрывозащиты "d" согласно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менее пяти полных ниток резьбы.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Не менее трех полных ниток резьбы.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Не менее семи полных ниток резьбы.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Не менее десяти полных ниток резьбы.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IEC 60079-14-2013, пункт 10.6.1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35. </w:t>
      </w:r>
      <w:r>
        <w:rPr>
          <w:rFonts w:ascii="Times New Roman" w:hAnsi="Times New Roman"/>
          <w:sz w:val="22"/>
        </w:rPr>
        <w:t>Где должно быть размещено связанное электрооборудование искробезопасных цепей согласно разделу 16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По возможности вне взрывоопасной зоны.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Только внутри взрывоопасной зоны класса 1.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Обязательно в зоне класса 0.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Только в шкафу управления вне взрывоопасной зоны.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IEC 60079-14-2013, пункт 16.1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36. </w:t>
      </w:r>
      <w:r>
        <w:rPr>
          <w:rFonts w:ascii="Times New Roman" w:hAnsi="Times New Roman"/>
          <w:sz w:val="22"/>
        </w:rPr>
        <w:t>Какая степень защиты оболочки от внешних воздействий требуется для оборудования с защитой вида "tb" и подгруппой IIIA по пыли согласно таблице 11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IP5X.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IP6X.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IP54.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IP67.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IEC 60079-14-2013, таблица 11, пункт 10.7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37. </w:t>
      </w:r>
      <w:r>
        <w:rPr>
          <w:rFonts w:ascii="Times New Roman" w:hAnsi="Times New Roman"/>
          <w:sz w:val="22"/>
        </w:rPr>
        <w:t>Что представляет собой вид взрывозащиты "m" (герметизация компаундом) согласно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Вид взрывозащиты, при котором части, способные воспламенить взрывоопасную среду, заключены в компаунд.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Вид взрывозащиты, основанный на ограничении электрической энергии в цепи.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Вид взрывозащиты, использующий заполнение оболочки кварцевым песком.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Вид взрывозащиты, при котором поддерживается избыточное давление защитного газа.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IEC 60079-14-2013, пункт 3.11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38. </w:t>
      </w:r>
      <w:r>
        <w:rPr>
          <w:rFonts w:ascii="Times New Roman" w:hAnsi="Times New Roman"/>
          <w:sz w:val="22"/>
        </w:rPr>
        <w:t>Какой максимальный ожидаемый ток короткого замыкания допустим в цепи питания связанного оборудования искробезопасных цепей согласно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Не более 1500 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Не более 500 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Не более 100 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Не более 5000 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ГОСТ IEC 60079-14-2013, пункт 16.2.1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39. </w:t>
      </w:r>
      <w:r>
        <w:rPr>
          <w:rFonts w:ascii="Times New Roman" w:hAnsi="Times New Roman"/>
          <w:sz w:val="22"/>
        </w:rPr>
        <w:t>Что должно быть выполнено до первой эксплуатации электроустановки во взрывоопасной зоне согласно разделу 4.3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Детальная первоначальная проверка оборудования и установки в соответствии с приложением С.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Только визуальный осмотр без использования инструмента.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Проверка только маркировки на оборудовании.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Только проверка целостности кабельных вводов.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IEC 60079-14-2013, пункт 4.3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40. </w:t>
      </w:r>
      <w:r>
        <w:rPr>
          <w:rFonts w:ascii="Times New Roman" w:hAnsi="Times New Roman"/>
          <w:sz w:val="22"/>
        </w:rPr>
        <w:t>Какое напряжение применяется для испытания изоляции кабелей в искробезопасных электрических цепях согласно разделу 16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менее 500 В переменного тока или 750 В постоянного тока.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Не менее 1000 В переменного тока.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Не менее 250 В переменного тока.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Не менее 1500 В переменного тока.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IEC 60079-14-2013, пункт 16.2.2.1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41. </w:t>
      </w:r>
      <w:r>
        <w:rPr>
          <w:rFonts w:ascii="Times New Roman" w:hAnsi="Times New Roman"/>
          <w:sz w:val="22"/>
        </w:rPr>
        <w:t>Какие предупредительные меры по снижению риска взрыва применяются согласно введению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Замещение среды, управление процессом, снижение последствий (в указанном порядке).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Только снижение последствий и установка оборудования во взрывоопасных зонах.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Только управление процессом и установка оборудования с маркировкой Ex.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Только замещение среды и снижение последствий.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IEC 60079-14-2013, введение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Блок 3. Протокол HART (18 вопросов)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42. </w:t>
      </w:r>
      <w:r>
        <w:rPr>
          <w:rFonts w:ascii="Times New Roman" w:hAnsi="Times New Roman"/>
          <w:sz w:val="22"/>
        </w:rPr>
        <w:t>Какой адрес HART-устройства используется в режиме multidrop для адреса '0'?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Аналоговый выход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Мастер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Резервный адрес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Широковещательный адрес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Р МЭК 61784-1—2016, раздел 13.2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43. </w:t>
      </w:r>
      <w:r>
        <w:rPr>
          <w:rFonts w:ascii="Times New Roman" w:hAnsi="Times New Roman"/>
          <w:sz w:val="22"/>
        </w:rPr>
        <w:t>На каком методе модуляции основан HART-протокол для передачи цифровой информации?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Частотная манипуляция FSK с частотами 1200 Гц (логическая "1") и 2200 Гц (логический "0").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Амплитудная модуляция несущей частотой 4-20 мА.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Фазовая модуляция с частотами 2400 Гц и 4800 Гц.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Широтно-импульсная модуляция сигнала 4-20 мА.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Р МЭК 61784-1-2016, раздел 13 (Семейство 9, профиль 9/1); HART Specification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44. </w:t>
      </w:r>
      <w:r>
        <w:rPr>
          <w:rFonts w:ascii="Times New Roman" w:hAnsi="Times New Roman"/>
          <w:sz w:val="22"/>
        </w:rPr>
        <w:t>Какова основная особенность HART-протокола по отношению к аналоговому сигналу 4-20 мА?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Цифровой сигнал HART накладывается на аналоговый сигнал 4-20 мА без нарушения аналоговой передачи.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HART полностью заменяет аналоговый сигнал 4-20 мА цифровым.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HART использует отдельную пару проводов для цифровой связи.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HART передает цифровые данные только при нулевом значении тока.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Р МЭК 61784-1-2016, раздел 13; HART Specification FSK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45. </w:t>
      </w:r>
      <w:r>
        <w:rPr>
          <w:rFonts w:ascii="Times New Roman" w:hAnsi="Times New Roman"/>
          <w:sz w:val="22"/>
        </w:rPr>
        <w:t>Какие топологии подключения поддерживает HART-протокол?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Point-to-point (точка-точка) и multidrop (многоточечная).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Только point-to-point (точка-точка).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Только multidrop (многоточечная) топология.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Только кольцевая топология.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Р МЭК 61784-1-2016, раздел 13; HART Specification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46. </w:t>
      </w:r>
      <w:r>
        <w:rPr>
          <w:rFonts w:ascii="Times New Roman" w:hAnsi="Times New Roman"/>
          <w:sz w:val="22"/>
        </w:rPr>
        <w:t>Какова амплитуда переменного сигнала HART, накладываемого на токовую петлю 4-20 мА?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±1 мА.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±4 мА.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±0,5 мА.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±2 мА.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HART Protocol Specification, физический уровень FSK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47. </w:t>
      </w:r>
      <w:r>
        <w:rPr>
          <w:rFonts w:ascii="Times New Roman" w:hAnsi="Times New Roman"/>
          <w:sz w:val="22"/>
        </w:rPr>
        <w:t>Какова скорость передачи цифровых данных в HART-протоколе?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1200 бит/с.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9600 бит/с.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4800 бит/с.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2400 бит/с.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HART Protocol Specification, физический уровень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48. </w:t>
      </w:r>
      <w:r>
        <w:rPr>
          <w:rFonts w:ascii="Times New Roman" w:hAnsi="Times New Roman"/>
          <w:sz w:val="22"/>
        </w:rPr>
        <w:t>Какой режим адресации используется в HART-протоколе при подключении нескольких устройств в многоточечной топологии (multidrop)?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Используются адреса от 1 до 63, а аналоговый сигнал 4 мА фиксируется как постоянный ток питания.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Используются адреса от 0 до 15, аналоговый сигнал 4-20 мА сохраняется.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Используется только адрес 0 для всех устройств.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Адресация не требуется в многоточечной топологии.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HART Protocol Specification, адресация устройств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49. </w:t>
      </w:r>
      <w:r>
        <w:rPr>
          <w:rFonts w:ascii="Times New Roman" w:hAnsi="Times New Roman"/>
          <w:sz w:val="22"/>
        </w:rPr>
        <w:t>На какие категории подразделяются команды HART-протокола?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Универсальные (Universal), общие (Common) и специфичные (Device-Specific).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Только универсальные и специфичные.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Только чтение и запись.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Только диагностические и конфигурационные.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HART Protocol Specification, команды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50. </w:t>
      </w:r>
      <w:r>
        <w:rPr>
          <w:rFonts w:ascii="Times New Roman" w:hAnsi="Times New Roman"/>
          <w:sz w:val="22"/>
        </w:rPr>
        <w:t>Что такое burst-режим (режим Broadcast) в HART-протоколе?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Режим, при котором ведомое устройство самостоятельно периодически передает данные без запроса от мастера.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Режим одновременного опроса всех устройств на шине.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Режим передачи данных на высокой скорости 9600 бит/с.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Режим передачи аварийных сообщений с высоким приоритетом.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HART Protocol Specification, режим передачи burst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51. </w:t>
      </w:r>
      <w:r>
        <w:rPr>
          <w:rFonts w:ascii="Times New Roman" w:hAnsi="Times New Roman"/>
          <w:sz w:val="22"/>
        </w:rPr>
        <w:t>Какое максимальное количество устройств можно подключить к одной HART-магистрали в режиме multidrop?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До 63 устройств с уникальными адресами.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До 15 устройств.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До 32 устройств.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До 127 устройств.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HART Protocol Specification, многоточечная топология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52. </w:t>
      </w:r>
      <w:r>
        <w:rPr>
          <w:rFonts w:ascii="Times New Roman" w:hAnsi="Times New Roman"/>
          <w:sz w:val="22"/>
        </w:rPr>
        <w:t>Какая адресация используется в HART при работе в режиме point-to-point (точка-точка)?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Короткий адрес 0, аналоговый сигнал 4-20 мА используется для передачи измеренного значения.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Длинный адрес от 1 до 63, аналоговый сигнал отключен.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Только длинный адрес из 5 байт.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Адресация не требуется, используется только цифровой протокол.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HART Protocol Specification, адресация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53. </w:t>
      </w:r>
      <w:r>
        <w:rPr>
          <w:rFonts w:ascii="Times New Roman" w:hAnsi="Times New Roman"/>
          <w:sz w:val="22"/>
        </w:rPr>
        <w:t>Какой профиль HART определён в ГОСТ Р МЭК 61784-1-2016 как профиль 9/1?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HART (проводной) на основе IEC 61158 Тип 20.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WirelessHART на основе IEC 62591.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HART-IP на основе Ethernet.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HART с расширенным адресом из 8 байт.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ГОСТ Р МЭК 61784-1-2016, раздел 13.2 (Профиль 9/1)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54. </w:t>
      </w:r>
      <w:r>
        <w:rPr>
          <w:rFonts w:ascii="Times New Roman" w:hAnsi="Times New Roman"/>
          <w:sz w:val="22"/>
        </w:rPr>
        <w:t>Какой профиль HART определён в ГОСТ Р МЭК 61784-1-2016 как профиль 9/2?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WirelessHART на основе IEC 62591.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HART (проводной) на основе IEC 61158 Тип 20.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FOUNDATION HART.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HART-IP.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ГОСТ Р МЭК 61784-1-2016, раздел 13.3 (Профиль 9/2)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55. </w:t>
      </w:r>
      <w:r>
        <w:rPr>
          <w:rFonts w:ascii="Times New Roman" w:hAnsi="Times New Roman"/>
          <w:sz w:val="22"/>
        </w:rPr>
        <w:t>Для чего предназначена команда HART №0 (Universal Command)?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Для чтения уникального идентификатора устройства и номера ревизии.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Для записи конфигурации в энергонезависимую память.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Для калибровки токового выхода 4-20 мА.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Для переключения между режимами point-to-point и multidrop.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HART Protocol Specification, универсальные команды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56. </w:t>
      </w:r>
      <w:r>
        <w:rPr>
          <w:rFonts w:ascii="Times New Roman" w:hAnsi="Times New Roman"/>
          <w:sz w:val="22"/>
        </w:rPr>
        <w:t>Какие типы мастеров (Master) допускаются в HART-протоколе?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Основной мастер (Primary Master) и вторичный мастер (Secondary Master).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Только один мастер на шине.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До четырех мастеров одновременно.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Мастер и ведомое без ограничений.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HART Protocol Specification, типы мастеров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57. </w:t>
      </w:r>
      <w:r>
        <w:rPr>
          <w:rFonts w:ascii="Times New Roman" w:hAnsi="Times New Roman"/>
          <w:sz w:val="22"/>
        </w:rPr>
        <w:t>Какой метод доступа к шине используется в HART-протоколе в режиме polling?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Мастер последовательно опрашивает каждое ведомое устройство по его адресу.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Все устройства передают данные одновременно по таймеру.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Доступ к шине получают устройства по механизму токена.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Устройства передают данные по мере готовности (CSMA/CD).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HART Protocol Specification, режим polling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58. </w:t>
      </w:r>
      <w:r>
        <w:rPr>
          <w:rFonts w:ascii="Times New Roman" w:hAnsi="Times New Roman"/>
          <w:sz w:val="22"/>
        </w:rPr>
        <w:t>Какой вид кодирования используется для HART-фрейма на канальном уровне?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Манчестерское кодирование.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NRZ (без возврата к нулю).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RZ (возврат к нулю).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АМI (кодирование с инверсией марки).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HART Protocol Specification, канальный уровень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59. </w:t>
      </w:r>
      <w:r>
        <w:rPr>
          <w:rFonts w:ascii="Times New Roman" w:hAnsi="Times New Roman"/>
          <w:sz w:val="22"/>
        </w:rPr>
        <w:t>В каком семействе коммуникационных профилей (CPF) по ГОСТ Р МЭК 61784-1 определён HART-протокол?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В семействе 9 (CPF 9).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В семействе 3 (CPF 3).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В семействе 1 (CPF 1).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В семействе 6 (CPF 6).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Р МЭК 61784-1-2016, таблица 1, раздел 13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Блок 4. Profibus (18 вопросов)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60. </w:t>
      </w:r>
      <w:r>
        <w:rPr>
          <w:rFonts w:ascii="Times New Roman" w:hAnsi="Times New Roman"/>
          <w:sz w:val="22"/>
        </w:rPr>
        <w:t>Какие профили входят в семейство коммуникационных профилей 3 (PROFIBUS) согласно ГОСТ Р МЭК 61784-1-2016?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Профиль 3/1 (PROFIBUS DP) и Профиль 3/2 (PROFIBUS PA).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Профиль 3/1 (PROFIBUS DP) и Профиль 3/3 (PROFINET CBA).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Профиль 3/2 (PROFIBUS PA) и Профиль 3/3 (PROFINET CBA).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Только Профиль 3/1 (PROFIBUS DP).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Р МЭК 61784-1-2016, раздел 7.1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61. </w:t>
      </w:r>
      <w:r>
        <w:rPr>
          <w:rFonts w:ascii="Times New Roman" w:hAnsi="Times New Roman"/>
          <w:sz w:val="22"/>
        </w:rPr>
        <w:t>Какой тип физической среды используется для PROFIBUS DP согласно ГОСТ Р МЭК 61784-1-2016?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RS-485 (ANSI TIA/EIA RS-485-A) как основная среда, а также оптоволокно.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Манчестерский код с питанием от шины (МВР).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Только оптоволоконный кабель.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Только экранированная витая пара категории 5e.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Р МЭК 61784-1-2016, таблица 116, раздел 7.1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62. </w:t>
      </w:r>
      <w:r>
        <w:rPr>
          <w:rFonts w:ascii="Times New Roman" w:hAnsi="Times New Roman"/>
          <w:sz w:val="22"/>
        </w:rPr>
        <w:t>Какой тип физического уровня используется для PROFIBUS PA согласно ГОСТ Р МЭК 61784-1-2016?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Манчестерский код с питанием от шины (МВР), вариант MBP-IS для искробезопасных приложений.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RS-485 на скорости 9,6 кбит/с.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Ethernet 100BASE-TX.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Оптоволоконный кабель с лазерным излучением.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Р МЭК 61784-1-2016, таблица 116, раздел 7.1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63. </w:t>
      </w:r>
      <w:r>
        <w:rPr>
          <w:rFonts w:ascii="Times New Roman" w:hAnsi="Times New Roman"/>
          <w:sz w:val="22"/>
        </w:rPr>
        <w:t>Какой механизм управления доступом к шине используется в PROFIBUS?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Маркерное управление (token passing) с комбинацией master-slave обмена.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CSMA/CD (множественный доступ с контролем несущей и обнаружением коллизий).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TDMA (множественный доступ с временным разделением каналов).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Polling (централизованный опрос) от одного мастера.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Р МЭК 61784-1-2016, раздел 7; IEC 61158 Тип 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64. </w:t>
      </w:r>
      <w:r>
        <w:rPr>
          <w:rFonts w:ascii="Times New Roman" w:hAnsi="Times New Roman"/>
          <w:sz w:val="22"/>
        </w:rPr>
        <w:t>Какова максимальная скорость передачи данных в сети PROFIBUS DP на физическом уровне RS-485?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12 Мбит/с.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1,5 Мбит/с.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9,6 кбит/с.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500 кбит/с.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ГОСТ Р МЭК 61784-1-2016, раздел 7.2; IEC 61158-2 Тип 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65. </w:t>
      </w:r>
      <w:r>
        <w:rPr>
          <w:rFonts w:ascii="Times New Roman" w:hAnsi="Times New Roman"/>
          <w:sz w:val="22"/>
        </w:rPr>
        <w:t>Какова скорость передачи данных в сети PROFIBUS PA на физическом уровне МВР?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31,25 кбит/с.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9,6 кбит/с.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187,5 кбит/с.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1,5 Мбит/с.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Р МЭК 61784-1-2016, раздел 7.3; IEC 61158-2 Тип 3, МВР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66. </w:t>
      </w:r>
      <w:r>
        <w:rPr>
          <w:rFonts w:ascii="Times New Roman" w:hAnsi="Times New Roman"/>
          <w:sz w:val="22"/>
        </w:rPr>
        <w:t>Какие типы станций существуют в сети PROFIBUS?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Мастер-станции (Master), которые управляют шиной, и ведомые станции (Slave), которые реагируют на запросы мастера.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Только равноправные станции без разделения на мастер и ведомые.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Серверы и клиенты по аналогии с Ethernet.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Только ведущие станции (Master) с правом передачи маркера.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Р МЭК 61784-1-2016, раздел 7; IEC 61158 Тип 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67. </w:t>
      </w:r>
      <w:r>
        <w:rPr>
          <w:rFonts w:ascii="Times New Roman" w:hAnsi="Times New Roman"/>
          <w:sz w:val="22"/>
        </w:rPr>
        <w:t>Что такое GSD-файл в контексте PROFIBUS согласно ГОСТ Р МЭК 61784-1-2016?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Список функциональных возможностей коммуникаций устройства, описывающий параметры для конфигурации.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Файл графической схемы подключения оборудования.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Файл диагностики ошибок на шине PROFIBUS.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Файл с описанием профиля применения устройства.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Р МЭК 61784-1-2016, раздел 7.1; ИСО 15745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68. </w:t>
      </w:r>
      <w:r>
        <w:rPr>
          <w:rFonts w:ascii="Times New Roman" w:hAnsi="Times New Roman"/>
          <w:sz w:val="22"/>
        </w:rPr>
        <w:t>Что такое токен (маркер) в механизме доступа PROFIBUS?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Специальный кадр, передаваемый между станциями-мастерами, дающий право на передачу данных.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Уникальный адрес каждого устройства на шине.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Сигнал подтверждения приема данных от ведомой станции.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Кадр диагностики ошибок на шине.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Р МЭК 61784-1-2016; IEC 61158-4-3, механизм token passing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69. </w:t>
      </w:r>
      <w:r>
        <w:rPr>
          <w:rFonts w:ascii="Times New Roman" w:hAnsi="Times New Roman"/>
          <w:sz w:val="22"/>
        </w:rPr>
        <w:t>Какое максимальное количество станций допускается в сегменте PROFIBUS DP при скорости 12 Мбит/с?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До 32 станций в каждом сегменте (без повторителей).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До 127 станций.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До 64 станций.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До 16 станций.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IEC 61158-2, Профиль 3/1 (PROFIBUS DP)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70. </w:t>
      </w:r>
      <w:r>
        <w:rPr>
          <w:rFonts w:ascii="Times New Roman" w:hAnsi="Times New Roman"/>
          <w:sz w:val="22"/>
        </w:rPr>
        <w:t>Какой протокол прикладного уровня используется в PROFIBUS PA для обмена данными с полевыми приборами?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Профиль прикладного уровня (Application Profile) на основе МЭК 61158-5-3 и МЭК 61158-6-3.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Только Modbus RTU.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Только HART-протокол.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OPC UA напрямую поверх физического уровня.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Р МЭК 61784-1-2016, таблица 116, Профиль 3/2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71. </w:t>
      </w:r>
      <w:r>
        <w:rPr>
          <w:rFonts w:ascii="Times New Roman" w:hAnsi="Times New Roman"/>
          <w:sz w:val="22"/>
        </w:rPr>
        <w:t>Что означает вариант MBP-IS в контексте физического уровня PROFIBUS PA?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Манчестерский код с питанием от шины — искробезопасный (Manchester coding, Bus Powered — Intrinsically Safe).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Модифицированный бинарный протокол для промышленных систем.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Многолучевой профиль управления для искробезопасных систем.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Модульная базовая платформа для интеллектуальных систем.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Р МЭК 61784-1-2016, таблица 116; IEC 61158-2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72. </w:t>
      </w:r>
      <w:r>
        <w:rPr>
          <w:rFonts w:ascii="Times New Roman" w:hAnsi="Times New Roman"/>
          <w:sz w:val="22"/>
        </w:rPr>
        <w:t>Какова роль датчика периода повторения маркера (token-rotation-timer) в PROFIBUS?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Контроль времени циркуляции маркера между станциями-мастерами для обнаружения потери маркера.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Измерение времени отклика ведомой станции.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Поддержание синхронизации часов на всех станциях.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Контроль длительности передачи одного кадра.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Р МЭК 61784-1-2016; IEC 61158-4-3, таймеры канального уровня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73. </w:t>
      </w:r>
      <w:r>
        <w:rPr>
          <w:rFonts w:ascii="Times New Roman" w:hAnsi="Times New Roman"/>
          <w:sz w:val="22"/>
        </w:rPr>
        <w:t>Какие варианты физического уровня могут использоваться для PROFIBUS DP согласно таблице 116 ГОСТ Р МЭК 61784-1-2016?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RS-485, пластиковаое оптоволокно, стеклянное мультимодовое/одномодовое оптоволокно, оптоволокно PCF.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Только RS-485.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Только МВР и MBP-IS.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Только экранированная витая пара.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Р МЭК 61784-1-2016, таблица 116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74. </w:t>
      </w:r>
      <w:r>
        <w:rPr>
          <w:rFonts w:ascii="Times New Roman" w:hAnsi="Times New Roman"/>
          <w:sz w:val="22"/>
        </w:rPr>
        <w:t>Что происходит при обнаружении потери маркера в сети PROFIBUS?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Запускается процедура Claim_Token (борьба за маркер) для восстановления цикла маркера.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Все станции переходят в режим ожидания до перезагрузки.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Ведомые станции начинают самостоятельную передачу данных.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Мастер автоматически перезагружается и формирует новый маркер.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Р МЭК 61784-1-2016; IEC 61158-4-3, Claim_Token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75. </w:t>
      </w:r>
      <w:r>
        <w:rPr>
          <w:rFonts w:ascii="Times New Roman" w:hAnsi="Times New Roman"/>
          <w:sz w:val="22"/>
        </w:rPr>
        <w:t>Какой тип кодирования сигнала используется на физическом уровне МВР в PROFIBUS PA?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Манчестерское кодирование, где переход от низкого к высокому уровню соответствует логической "1", а от высокого к низкому — "0".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NRZ-кодирование без возврата к нулю.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Частотная модуляция FSK с частотами 1200/2200 Гц.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Дифференциальное манчестерское кодирование.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Р МЭК 61784-1-2016; IEC 61158-2, МВР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76. </w:t>
      </w:r>
      <w:r>
        <w:rPr>
          <w:rFonts w:ascii="Times New Roman" w:hAnsi="Times New Roman"/>
          <w:sz w:val="22"/>
        </w:rPr>
        <w:t>Какое максимальное напряжение питания шины предусмотрено для сегмента PROFIBUS PA с питанием от шины (МВР)?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Около 13 В на конце сегмента (при стартовом напряжении ~16-32 В).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24 В постоянного тока.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5 В постоянного тока.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48 В постоянного тока.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IEC 61158-2, физический уровень МВР (MBP)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77. </w:t>
      </w:r>
      <w:r>
        <w:rPr>
          <w:rFonts w:ascii="Times New Roman" w:hAnsi="Times New Roman"/>
          <w:sz w:val="22"/>
        </w:rPr>
        <w:t>Какое устройство выполняет функцию связи между сегментами PROFIBUS PA (МВР) и PROFIBUS DP (RS-485)?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Куплер (coupler) или линк (link), выполняющий преобразование протоколов и физического уровня.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Повторитель (repeater) с усилением сигнала.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Маршрутизатор (router) с протоколом TCP/IP.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Прямое соединение через скрутку проводов.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ГОСТ Р МЭК 61784-1-2016, раздел 7; спецификация PROFIBUS PA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Блок 5. ПИД-регулирование (18 вопросов)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78. </w:t>
      </w:r>
      <w:r>
        <w:rPr>
          <w:rFonts w:ascii="Times New Roman" w:hAnsi="Times New Roman"/>
          <w:sz w:val="22"/>
        </w:rPr>
        <w:t>Из каких трёх составляющих состоит ПИД-регулятор?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Пропорциональная (П), интегральная (И) и дифференциальная (Д) составляющие.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Пропорциональная, дифференциальная и адаптивная.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Интегральная, дифференциальная и фильтровая.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Пропорциональная, интегральная и предиктивная.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 в области КИПиА, теория автоматического управления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79. </w:t>
      </w:r>
      <w:r>
        <w:rPr>
          <w:rFonts w:ascii="Times New Roman" w:hAnsi="Times New Roman"/>
          <w:sz w:val="22"/>
        </w:rPr>
        <w:t>Как влияет пропорциональная составляющая ПИД-регулятора на переходный процесс?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Уменьшает установившуюся ошибку при увеличении коэффициента усиления, но может вызвать колебания при слишком большом значении.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Полностью устраняет установившуюся ошибку независимо от коэффициента.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Увеличивает время регулирования при любом значении коэффициента.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Устраняет перерегулирование при увеличении коэффициента.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теория автоматического управления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80. </w:t>
      </w:r>
      <w:r>
        <w:rPr>
          <w:rFonts w:ascii="Times New Roman" w:hAnsi="Times New Roman"/>
          <w:sz w:val="22"/>
        </w:rPr>
        <w:t>Какова основная функция интегральной составляющей ПИД-регулятора?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Устранение установившейся статической ошибки за счёт интегрирования ошибки по времени.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Предсказание будущего поведения ошибки на основе скорости её изменения.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Фильтрация высокочастотных помех в канале измерения.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Компенсация запаздывания в объекте управления.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теория автоматического управления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81. </w:t>
      </w:r>
      <w:r>
        <w:rPr>
          <w:rFonts w:ascii="Times New Roman" w:hAnsi="Times New Roman"/>
          <w:sz w:val="22"/>
        </w:rPr>
        <w:t>Какова основная функция дифференциальной составляющей ПИД-регулятора?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Предсказание будущего изменения ошибки на основе скорости её изменения для повышения быстродействия.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Устранение статической ошибки в установившемся режиме.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Увеличение коэффициента усиления в переходном процессе.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Фильтрация низкочастотных возмущений.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теория автоматического управления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82. </w:t>
      </w:r>
      <w:r>
        <w:rPr>
          <w:rFonts w:ascii="Times New Roman" w:hAnsi="Times New Roman"/>
          <w:sz w:val="22"/>
        </w:rPr>
        <w:t>Что такое "интегральный насыщение" (integral windup) в ПИД-регуляторе?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Накопление интегральной суммы при длительном отклонении, приводящее к перерегулированию при смене знака ошибки.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Уменьшение коэффициента интегральной составляющей с течением времени.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Потеря устойчивости из-за слишком малого значения коэффициента интегральной составляющей.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Отключение интегральной составляющей при достижении уставки.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анти-windup методы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83. </w:t>
      </w:r>
      <w:r>
        <w:rPr>
          <w:rFonts w:ascii="Times New Roman" w:hAnsi="Times New Roman"/>
          <w:sz w:val="22"/>
        </w:rPr>
        <w:t>Какой метод используется для предотвращения интегрального насыщения (anti-windup)?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Ограничение интегральной суммы, остановка интегрирования при насыщении выхода, метод "back-calculation".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Увеличение коэффициента дифференциальной составляющей.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Уменьшение периода квантования регулятора.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Полное отключение интегральной составляющей.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методы anti-windup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84. </w:t>
      </w:r>
      <w:r>
        <w:rPr>
          <w:rFonts w:ascii="Times New Roman" w:hAnsi="Times New Roman"/>
          <w:sz w:val="22"/>
        </w:rPr>
        <w:t>Что такое каскадное ПИД-регулирование?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Схема с двумя регуляторами: внутренним (быстрым) по промежуточной переменной и внешним (медленным) по основной.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Параллельное соединение нескольких ПИД-регуляторов для управления одним объектом.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Последовательное переключение между несколькими ПИД-регуляторами.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Использование одного ПИД-регулятора с несколькими уставками.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каскадное регулирование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85. </w:t>
      </w:r>
      <w:r>
        <w:rPr>
          <w:rFonts w:ascii="Times New Roman" w:hAnsi="Times New Roman"/>
          <w:sz w:val="22"/>
        </w:rPr>
        <w:t>Что такое метод Ziegler-Nichols для настройки ПИД-регулятора?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Метод определения коэффициентов ПИД-регулятора по критическому коэффициенту усиления и периоду колебаний.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Метод ручной настройки по переходной характеристике объекта.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Метод оптимизации коэффициентов с помощью генетического алгоритма.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Метод настройки только по интегральной составляющей.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методы настройки ПИД-регулятора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86. </w:t>
      </w:r>
      <w:r>
        <w:rPr>
          <w:rFonts w:ascii="Times New Roman" w:hAnsi="Times New Roman"/>
          <w:sz w:val="22"/>
        </w:rPr>
        <w:t>Что такое "feedforward" (прямая связь по возмущению) в контексте ПИД-регулирования?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Предварительная компенсация измеренного возмущения до его влияния на регулируемую переменную.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Обратная связь по ошибке регулирования.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Дополнительная обратная связь по производной ошибки.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Адаптивное изменение коэффициентов ПИД-регулятора.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feedforward управление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87. </w:t>
      </w:r>
      <w:r>
        <w:rPr>
          <w:rFonts w:ascii="Times New Roman" w:hAnsi="Times New Roman"/>
          <w:sz w:val="22"/>
        </w:rPr>
        <w:t>Что такое "split-range" управление в ПИД-регулировании?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Управление двумя исполнительными механизмами от одного выхода регулятора с разделением диапазона выхода.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Разделение ПИД-регулятора на два независимых контура.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Переключение между двумя уставками в зависимости от режима работы.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Одновременное управление двумя объектами с разными ПИД-параметрами.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split-range управление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88. </w:t>
      </w:r>
      <w:r>
        <w:rPr>
          <w:rFonts w:ascii="Times New Roman" w:hAnsi="Times New Roman"/>
          <w:sz w:val="22"/>
        </w:rPr>
        <w:t>Как влияет увеличение коэффициента дифференциальной составляющей на качество регулирования?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Увеличивает демпфирование колебаний, но повышает чувствительность к шуму в канале измерения.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Уменьшает время достижения уставки без побочных эффектов.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Устраняет статическую ошибку.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Снижает перерегулирование и уменьшает время интегрирования.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влияние Д-составляющей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89. </w:t>
      </w:r>
      <w:r>
        <w:rPr>
          <w:rFonts w:ascii="Times New Roman" w:hAnsi="Times New Roman"/>
          <w:sz w:val="22"/>
        </w:rPr>
        <w:t>Что такое автоподстройка (auto-tune) ПИД-регулятора?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Автоматическое определение коэффициентов П, И, Д на основе экспериментальных возмущений объекта.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Ручной ввод коэффициентов оператором по таблице типовых настроек.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Фиксированные заводские настройки, не изменяемые в процессе эксплуатации.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Адаптивное изменение уставки по расписанию.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автоподстройка ПИД-регулятора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90. </w:t>
      </w:r>
      <w:r>
        <w:rPr>
          <w:rFonts w:ascii="Times New Roman" w:hAnsi="Times New Roman"/>
          <w:sz w:val="22"/>
        </w:rPr>
        <w:t>При каком соотношении параметров объекта метод Ziegler-Nichols рекомендует использовать только П-регулятор?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При объектах с большим запаздыванием и малой инерционностью, когда И- и Д-составляющие ухудшают качество.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При любых объектах для упрощения настройки.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При объектах без самовыравнивания.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При объектах с минимальным запаздыванием.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метод Ziegler-Nichols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91. </w:t>
      </w:r>
      <w:r>
        <w:rPr>
          <w:rFonts w:ascii="Times New Roman" w:hAnsi="Times New Roman"/>
          <w:sz w:val="22"/>
        </w:rPr>
        <w:t>Что характерно для ПИ-регулятора по сравнению с полным ПИД-регулятором?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Отсутствие дифференциальной составляющей, что повышает устойчивость к шуму измерений.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Отсутствие интегральной составляющей, что увеличивает статическую ошибку.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Отсутствие пропорциональной составляющей, что замедляет реакцию.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Наличие только пропорциональной составляющей.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типы ПИД-регуляторов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92. </w:t>
      </w:r>
      <w:r>
        <w:rPr>
          <w:rFonts w:ascii="Times New Roman" w:hAnsi="Times New Roman"/>
          <w:sz w:val="22"/>
        </w:rPr>
        <w:t>Какое нежелательное явление может возникнуть при слишком большом коэффициенте интегральной составляющей ПИД-регулятора?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Увеличение перерегулирования и колебательности переходного процесса.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Увеличение статической ошибки.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Ускорение переходного процесса без колебаний.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Полная потеря управляемости.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влияние И-составляющей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93. </w:t>
      </w:r>
      <w:r>
        <w:rPr>
          <w:rFonts w:ascii="Times New Roman" w:hAnsi="Times New Roman"/>
          <w:sz w:val="22"/>
        </w:rPr>
        <w:t>В каких случаях при наладке КИПиА рекомендуется использовать только П-регулирование?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При наличии значительного шума в измерительном канале и относительно допустимой статической ошибке.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Когда требуется полное устранение статической ошибки.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При управлении объектами с большим запаздыванием.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В системах с высокими требованиями к точности.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выбор типа регулятора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94. </w:t>
      </w:r>
      <w:r>
        <w:rPr>
          <w:rFonts w:ascii="Times New Roman" w:hAnsi="Times New Roman"/>
          <w:sz w:val="22"/>
        </w:rPr>
        <w:t>Какова формула идеального ПИД-регулятора в непрерывном времени?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u(t) = Kp × e(t) + Ki × ∫e(τ)dτ + Kd × de(t)/dt, где e(t) — ошибка регулирования.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u(t) = Kp × e(t) + Kd × de(t)/dt (без интегральной составляющей).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u(t) = Ki × ∫e(τ)dτ + Kd × de(t)/dt (без пропорциональной составляющей).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u(t) = Kp × e(t) × Ki × ∫e(τ)dτ × Kd × de(t)/dt (произведение всех составляющих).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математическое описание ПИД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95. </w:t>
      </w:r>
      <w:r>
        <w:rPr>
          <w:rFonts w:ascii="Times New Roman" w:hAnsi="Times New Roman"/>
          <w:sz w:val="22"/>
        </w:rPr>
        <w:t>Какое явление называется "перерегулированием" в переходном процессе ПИД-регулирования?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Превышение регулируемой переменной заданного значения (уставки) в процессе перехода из одного состояния в другое.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Недостижение уставки в течение заданного времени.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Колебания регулируемой переменной вокруг уставки в установившемся режиме.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Отклонение уставки от номинального значения.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Общие технические знания, показатели качества регулирования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Блок 6. Монтаж импульсных трубок (18 вопросов)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96. </w:t>
      </w:r>
      <w:r>
        <w:rPr>
          <w:rFonts w:ascii="Times New Roman" w:hAnsi="Times New Roman"/>
          <w:sz w:val="22"/>
        </w:rPr>
        <w:t>Какой минимальный наклон импульсных трубок рекомендуется для измеряемой среды — жидкостей согласно правилам монтажа КИПиА?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менее 1:10 (10%) в сторону процесса или дренажного сосуда.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Не менее 1:20 (5%) в сторону прибора.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Горизонтальная прокладка без наклона.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Не менее 1:50 (2%) в любом направлении.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IEC 60079-14-2013; правила монтажа импульсных линий КИПиА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97. </w:t>
      </w:r>
      <w:r>
        <w:rPr>
          <w:rFonts w:ascii="Times New Roman" w:hAnsi="Times New Roman"/>
          <w:sz w:val="22"/>
        </w:rPr>
        <w:t>Какой минимальный наклон импульсных трубок для газообразных сред рекомендуется согласно правилам монтажа?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менее 1:20 (5%) в сторону процесса или дренажного сосуда для отвода конденсата.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Не менее 1:10 (10%) в сторону прибора.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Горизонтальная прокладка.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Не менее 1:5 (20%) в сторону процесса.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Правила монтажа импульсных трубок КИПиА; НПА по монтажу КИПиА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98. </w:t>
      </w:r>
      <w:r>
        <w:rPr>
          <w:rFonts w:ascii="Times New Roman" w:hAnsi="Times New Roman"/>
          <w:sz w:val="22"/>
        </w:rPr>
        <w:t>Какой рекомендуемый внутренний диаметр импульсных трубок для измерения давления жидкости при расстоянии до 15 м?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10-15 мм (наружный диаметр 12-18 мм).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6-8 мм (наружный диаметр 8-10 мм).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20-25 мм (наружный диаметр 22-28 мм).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3-4 мм (наружный диаметр 6 мм).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Правила монтажа импульсных линий КИПиА, требования к диаметру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99. </w:t>
      </w:r>
      <w:r>
        <w:rPr>
          <w:rFonts w:ascii="Times New Roman" w:hAnsi="Times New Roman"/>
          <w:sz w:val="22"/>
        </w:rPr>
        <w:t>Какая максимальная длина импульсных трубок рекомендуется для измерения давления без заполнения разделительной жидкостью?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более 50-60 м для газов и 30-50 м для жидкостей.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Не более 10 м для любых сред.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Не более 200 м независимо от среды.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Не более 100 м для газов и 150 м для жидкостей.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Правила монтажа импульсных линий КИПиА, требования к длине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100. </w:t>
      </w:r>
      <w:r>
        <w:rPr>
          <w:rFonts w:ascii="Times New Roman" w:hAnsi="Times New Roman"/>
          <w:sz w:val="22"/>
        </w:rPr>
        <w:t>Для чего предназначены дренажные сосуды (дренажи) в импульсных линиях измерения жидкости?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Для сбора и отвода конденсата, газовых пузырей и обеспечения постоянного заполнения трубки жидкостью.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Для компенсации температурного расширения жидкости.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Для снижения давления в импульсной линии.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Для фильтрации механических примесей.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Правила монтажа импульсных трубок КИПиА, дренажные сосуды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101. </w:t>
      </w:r>
      <w:r>
        <w:rPr>
          <w:rFonts w:ascii="Times New Roman" w:hAnsi="Times New Roman"/>
          <w:sz w:val="22"/>
        </w:rPr>
        <w:t>Какой материал трубок рекомендуется для импульсных линий во взрывоопасных зонах согласно ГОСТ IEC 60079-14?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Нержавеющая сталь с соблюдением требований к виду взрывозащиты оборудования.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Медь или латунь без ограничений.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Пластиковые трубы любого типа.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Оцинкованная сталь.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IEC 60079-14-2013, раздел 6.1; требования к материалам труб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102. </w:t>
      </w:r>
      <w:r>
        <w:rPr>
          <w:rFonts w:ascii="Times New Roman" w:hAnsi="Times New Roman"/>
          <w:sz w:val="22"/>
        </w:rPr>
        <w:t>Какова recommended длина импульсных трубок для дифференциального манометра при измерении расхода по сужающему устройству?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Обе импульсные линии должны иметь одинаковую длину и идентичную трассировку для исключения дополнительной погрешности.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Длина не имеет значения, важен только диаметр.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Плюсовая линия должна быть короче минусовой.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Минусовая линия должна быть длиннее плюсовой.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Правила монтажа импульсных линий, измерение расхода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103. </w:t>
      </w:r>
      <w:r>
        <w:rPr>
          <w:rFonts w:ascii="Times New Roman" w:hAnsi="Times New Roman"/>
          <w:sz w:val="22"/>
        </w:rPr>
        <w:t>Для чего применяется разделительная жидкость (заполнение) в импульсных трубках?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Для разделения агрессивной измеряемой среды от чувствительного элемента прибора и передачи давления.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Для снижения давления в импульсной линии.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Для предотвращения коррозии внешней поверхности трубок.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Для увеличения скорости передачи давления.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Правила монтажа импульсных трубок КИПиА, разделительные жидкости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104. </w:t>
      </w:r>
      <w:r>
        <w:rPr>
          <w:rFonts w:ascii="Times New Roman" w:hAnsi="Times New Roman"/>
          <w:sz w:val="22"/>
        </w:rPr>
        <w:t>Какое требование предъявляется к разделительной жидкости в импульсных трубках?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должна смешиваться с измеряемой средой, иметь стабильные плотность и температурный коэффициент расширения.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Должна иметь плотность выше измеряемой среды.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Должна быть всегда на водной основе.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Должна замерзать при отрицательных температурах.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Правила монтажа импульсных трубок, требования к разделительной жидкости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105. </w:t>
      </w:r>
      <w:r>
        <w:rPr>
          <w:rFonts w:ascii="Times New Roman" w:hAnsi="Times New Roman"/>
          <w:sz w:val="22"/>
        </w:rPr>
        <w:t>Какое требование к расположению импульсных трубок при измерении давления пара?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Импульсные линии должны быть заполнены конденсатом, для чего устанавливаются конденсационные сосуды.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Импульсные линии прокладываются горизонтально без наклона.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Длина импульсных линий должна быть минимально возможной.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Используются трубы только из полимерных материалов.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Правила монтажа импульсных трубок, измерение давления пара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106. </w:t>
      </w:r>
      <w:r>
        <w:rPr>
          <w:rFonts w:ascii="Times New Roman" w:hAnsi="Times New Roman"/>
          <w:sz w:val="22"/>
        </w:rPr>
        <w:t>Для чего применяется тепловая изоляция (heat tracing) импульсных трубок?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Для предотвращения замерзания или кристаллизации измеряемой среды и разделительной жидкости при низких температурах.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Для повышения точности измерения давления при высоких температурах.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Для снижения влияния вибрации трубопровода на показания прибора.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Для защиты трубок от механических повреждений.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Правила монтажа импульсных трубок, тепловая изоляция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107. </w:t>
      </w:r>
      <w:r>
        <w:rPr>
          <w:rFonts w:ascii="Times New Roman" w:hAnsi="Times New Roman"/>
          <w:sz w:val="22"/>
        </w:rPr>
        <w:t>Какова recommended минимальная длина прямого участка импульсной трубки от отбора давления до первого колена?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менее 2-3 диаметров трубки для исключения влияния гидравлических сопротивлений.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Не менее 10 диаметров трубки.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Не менее 50 диаметров трубки.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Прямой участок не требуется.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Правила монтажа импульсных линий, трассировка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108. </w:t>
      </w:r>
      <w:r>
        <w:rPr>
          <w:rFonts w:ascii="Times New Roman" w:hAnsi="Times New Roman"/>
          <w:sz w:val="22"/>
        </w:rPr>
        <w:t>Какое требование к импульсным трубкам во взрывоопасных зонах при использовании искробезопасных цепей?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Трубки должны соответствовать требованиям к искробезопасным электрическим цепям, если в них проложены токоведущие части.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Трубки должны быть только из диэлектрических материалов.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Импульсные трубки не подлежат требованиям взрывозащиты.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Трубки должны иметь степень защиты IP67.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IEC 60079-14-2013, раздел 16; искробезопасные цепи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109. </w:t>
      </w:r>
      <w:r>
        <w:rPr>
          <w:rFonts w:ascii="Times New Roman" w:hAnsi="Times New Roman"/>
          <w:sz w:val="22"/>
        </w:rPr>
        <w:t>Как правильно выполнить подключение импульсных трубок к дифманометру при измерении расхода жидкости в горизонтальном трубопроводе?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Отбор давления выполняется в горизонтальной плоскости трубопровода, обе импульсные линии на одном уровне.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Отбор давления выполняется в верхней части трубопровода.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Отбор давления выполняется в нижней части трубопровода.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Плюсовая камера — сверху, минусовая — снизу.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Правила монтажа импульсных линий, измерение расхода жидкости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110. </w:t>
      </w:r>
      <w:r>
        <w:rPr>
          <w:rFonts w:ascii="Times New Roman" w:hAnsi="Times New Roman"/>
          <w:sz w:val="22"/>
        </w:rPr>
        <w:t>Какой диаметр заполнительного (дренажного) сосуда в импульсной линии рекомендуется для измерения пара?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менее 100-150 мм для обеспечения достаточного объема конденсата.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Не менее 25 мм.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Не менее 500 мм.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Диаметр сосуда не регламентируется.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Правила монтажа импульсных трубок, конденсационные сосуды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111. </w:t>
      </w:r>
      <w:r>
        <w:rPr>
          <w:rFonts w:ascii="Times New Roman" w:hAnsi="Times New Roman"/>
          <w:sz w:val="22"/>
        </w:rPr>
        <w:t>Какое давление заполнения разделительной жидкости в импульсных трубках рекомендуется при измерении давления агрессивных сред?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Давление заполнения должно превышать максимальное рабочее давление измеряемой среды.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Давление заполнения должно быть ниже рабочего давления.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Давление заполнения должно быть равно атмосферному.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Давление заполнения не имеет значения.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Правила монтажа импульсных трубок, заполнение разделительной жидкостью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112. </w:t>
      </w:r>
      <w:r>
        <w:rPr>
          <w:rFonts w:ascii="Times New Roman" w:hAnsi="Times New Roman"/>
          <w:sz w:val="22"/>
        </w:rPr>
        <w:t>Какое требование предъявляется к вентилям (дренажным) на импульсных трубках во взрывоопасных зонах?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Вентили должны соответствовать требованиям взрывозащиты для данной зоны и быть доступны для обслуживания.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Вентили не допускается устанавливать во взрывоопасных зонах.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Вентили должны быть только из пластмассы.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Достаточно одного вентиля на каждую импульсную линию.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ГОСТ IEC 60079-14-2013; правила монтажа импульсных линий в ВЗ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113. </w:t>
      </w:r>
      <w:r>
        <w:rPr>
          <w:rFonts w:ascii="Times New Roman" w:hAnsi="Times New Roman"/>
          <w:sz w:val="22"/>
        </w:rPr>
        <w:t>Какое влияние оказывает увеличенная длина импульсных трубок на динамические характеристики измерения?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Увеличивает инерционность и запаздывание измерительного канала, снижая быстродействие регулирования.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Улучшает точность измерения за счёт усреднения пульсаций.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Не оказывает влияния на характеристики измерения.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Уменьшает влияние температурных погрешностей.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Правила монтажа импульсных линий, влияние длины на динамику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Блок 7. Электрические цепи КИПиА (19 вопросов)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114. </w:t>
      </w:r>
      <w:r>
        <w:rPr>
          <w:rFonts w:ascii="Times New Roman" w:hAnsi="Times New Roman"/>
          <w:sz w:val="22"/>
        </w:rPr>
        <w:t>Согласно ПУЭ (п. 3.4.4, п. 1), каково минимальное сечение медных жил контрольных кабелей для токовых цепей при присоединении под винт?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менее 1,5 мм² для медных жил токовых цепей.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Не менее 1,0 мм² для медных жил токовых цепей.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Не менее 4,0 мм² для медных жил токовых цепей.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Не менее 2,5 мм² для медных жил токовых цепей.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ПУЭ, п. 3.4.4, п. 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115. </w:t>
      </w:r>
      <w:r>
        <w:rPr>
          <w:rFonts w:ascii="Times New Roman" w:hAnsi="Times New Roman"/>
          <w:sz w:val="22"/>
        </w:rPr>
        <w:t>Согласно ПУЭ (п. 3.4.7), допускается ли присоединение двух алюминиевых жил кабеля под один винт на сборках зажимов?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Допускается при сечении жил не более 2,5 мм² и наличии шайбы-звёздочки.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Допускается при обязательном использовании наконечников с цилиндрической частью.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Не допускается — присоединение двух алюминиевых жил под один винт запрещено.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Допускается при контроле затяжки динамометрическим ключом.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ПУЭ, п. 3.4.7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116. </w:t>
      </w:r>
      <w:r>
        <w:rPr>
          <w:rFonts w:ascii="Times New Roman" w:hAnsi="Times New Roman"/>
          <w:sz w:val="22"/>
        </w:rPr>
        <w:t>Согласно ПУЭ (п. 3.4.6), допускается ли применение общих контрольных кабелей для цепей разных присоединений?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допускается — каждое присоединение должно иметь отдельный кабель.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Допускается для всех цепей без исключений при одинаковых сечениях жил.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Допускается, за исключением цепей взаимно резервируемых присоединений.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Допускается только при прокладке кабелей в раздельных трубах.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ПУЭ, п. 3.4.6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117. </w:t>
      </w:r>
      <w:r>
        <w:rPr>
          <w:rFonts w:ascii="Times New Roman" w:hAnsi="Times New Roman"/>
          <w:sz w:val="22"/>
        </w:rPr>
        <w:t>Согласно ПУЭ (п. 3.4.9), какую маркировку должны иметь кабели вторичных цепей и жилы кабелей, присоединяемые к сборкам зажимов?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Цветовую маркировку изоляции жил по фазам и назначению цепей.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Буквенно-цифровую маркировку по ГОСТ на кабельную продукцию.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Маркировку, обеспечивающую идентификацию каждого присоединения и цепи.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Цифровую маркировку в соответствии с номером панели и ряда зажимов.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ПУЭ, п. 3.4.9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118. </w:t>
      </w:r>
      <w:r>
        <w:rPr>
          <w:rFonts w:ascii="Times New Roman" w:hAnsi="Times New Roman"/>
          <w:sz w:val="22"/>
        </w:rPr>
        <w:t>Согласно ПУЭ (п. 3.4.11), кабели вторичных цепей трансформаторов напряжения 110 кВ и выше, имеющие металлическую оболочку или броню, должны быть: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Заземлены с обеих сторон трассы прокладки кабеля.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Не заземлены, но проложены в заземлённых лотках.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Заземлены только у трансформатора напряжения на вводе в землю.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Заземлены только с одной стороны — на стороне щита управления.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ПУЭ, п. 3.4.11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119. </w:t>
      </w:r>
      <w:r>
        <w:rPr>
          <w:rFonts w:ascii="Times New Roman" w:hAnsi="Times New Roman"/>
          <w:sz w:val="22"/>
        </w:rPr>
        <w:t>Согласно ПУЭ (п. 3.4.11), какие кабели применяются для цепей приборов, чувствительных к наводкам от других устройств?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Контрольные кабели с увеличенным сечением жил для снижения наводок.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Контрольные кабели в заземлённых стальных трубах по всей длине трассы.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Экранированные провода и контрольные кабели с общим экраном или с экранированными жилами.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Контрольные кабели с полиэтиленовой изоляцией для снижения ёмкостных связей.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ПУЭ, п. 3.4.11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120. </w:t>
      </w:r>
      <w:r>
        <w:rPr>
          <w:rFonts w:ascii="Times New Roman" w:hAnsi="Times New Roman"/>
          <w:sz w:val="22"/>
        </w:rPr>
        <w:t>Согласно ПУЭ (п. 3.4.12), какое минимальное сечение должны иметь провода с медными жилами для монтажа щитовых устройств при присоединении винтовыми зажимами?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менее 2,5 мм².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Не менее 1,5 мм².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Не менее 0,5 мм².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Не менее 0,35 мм².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ПУЭ, п. 3.4.12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121. </w:t>
      </w:r>
      <w:r>
        <w:rPr>
          <w:rFonts w:ascii="Times New Roman" w:hAnsi="Times New Roman"/>
          <w:sz w:val="22"/>
        </w:rPr>
        <w:t>Согласно ПУЭ (п. 3.4.12), допускается ли применение проводов с алюминиевыми жилами для внутреннего монтажа щитовых устройств?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Допускается при сечении жил не менее 2,5 мм² и наличии медных наконечников.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Допускается для силовых цепей при наличии проектного решения.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Не допускается — для внутреннего монтажа щитовых устройств применяются только медные жилы.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Допускается для цепей освещения и сигнализации внутри щитовых устройств.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ПУЭ, п. 3.4.12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122. </w:t>
      </w:r>
      <w:r>
        <w:rPr>
          <w:rFonts w:ascii="Times New Roman" w:hAnsi="Times New Roman"/>
          <w:sz w:val="22"/>
        </w:rPr>
        <w:t>Согласно ПУЭ (п. 3.4.23), в скольких точках следует предусматривать заземление во вторичных цепях трансформаторов тока?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В одной точке — на панели защиты в щитовой.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В двух точках — на каждом конце кабельной трассы от трансформатора до сборки.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В одной точке на ближайшей от ТТ сборке зажимов или на зажимах ТТ.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В каждой точке подключения — индивидуально на сборке зажимов щита.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ПУЭ, п. 3.4.23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123. </w:t>
      </w:r>
      <w:r>
        <w:rPr>
          <w:rFonts w:ascii="Times New Roman" w:hAnsi="Times New Roman"/>
          <w:sz w:val="22"/>
        </w:rPr>
        <w:t>Согласно ПУЭ (п. 3.4.23), через какой элемент допускается заземление вторичных цепей для защит, объединяющих несколько комплектов ТТ?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Через разделительный трансформатор с коэффициентом трансформации 1:1.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Через резистор сопротивлением не менее 1000 Ом для ограничения тока.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Через конденсатор ёмкостью не менее 0,1 мкФ для стекания статического заряда.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Через пробивной предохранитель с пробивным напряжением не выше 1 кВ и шунтирующим сопротивлением.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ПУЭ, п. 3.4.23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124. </w:t>
      </w:r>
      <w:r>
        <w:rPr>
          <w:rFonts w:ascii="Times New Roman" w:hAnsi="Times New Roman"/>
          <w:sz w:val="22"/>
        </w:rPr>
        <w:t>Согласно ПУЭ (п. 3.4.25), чем должны быть защищены от КЗ вторичные цепи трансформаторов напряжения?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Предохранителями, устанавливаемыми во всех фазных и нулевом проводниках.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Предохранителями, устанавливаемыми только в фазных проводниках на стороне ТН.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Автоматическими выключателями, устанавливаемыми во всех незаземлённых проводниках после сборки зажимов.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Токоограничивающими реакторами в цепях каждого присоединения.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ПУЭ, п. 3.4.25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125. </w:t>
      </w:r>
      <w:r>
        <w:rPr>
          <w:rFonts w:ascii="Times New Roman" w:hAnsi="Times New Roman"/>
          <w:sz w:val="22"/>
        </w:rPr>
        <w:t>Согласно ПУЭ (п. 3.4.25), допускается ли установка устройств для видимого разрыва между ТН и местом заземления его вторичных цепей?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Допускается при наличии блокировки, исключающей разрыв при наличии напряжения.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Допускается при использовании разъёмных соединителей на панели управления.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Не допускается — установка таких устройств между ТН и местом заземления запрещена.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Допускается при условии применения двойной изоляции проводников.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ПУЭ, п. 3.4.25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126. </w:t>
      </w:r>
      <w:r>
        <w:rPr>
          <w:rFonts w:ascii="Times New Roman" w:hAnsi="Times New Roman"/>
          <w:sz w:val="22"/>
        </w:rPr>
        <w:t>Согласно ПУЭ (п. 3.4.19), через что должно осуществляться питание оперативным током вторичных цепей каждого присоединения?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Через общие сборные шины оперативного тока на весь распределительный ряд.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Через отдельные предохранители или автоматические выключатели для каждого присоединения.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Через групповой автоматический выключатель на всё устройство релейной защиты.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Через единый рубильник оперативного тока на всю панель управления.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ПУЭ, п. 3.4.19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127. </w:t>
      </w:r>
      <w:r>
        <w:rPr>
          <w:rFonts w:ascii="Times New Roman" w:hAnsi="Times New Roman"/>
          <w:sz w:val="22"/>
        </w:rPr>
        <w:t>Согласно ПУЭ (п. 3.4.5, п. 2), какова допустимая потеря напряжения в цепях напряжения от ТН до расчётных счётчиков?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более 1,5% от номинального напряжения трансформатора.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Не более 0,25% от номинального напряжения трансформатора.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Не более 0,5% от номинального напряжения трансформатора.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Не более 3% от номинального напряжения трансформатора.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ПУЭ, п. 3.4.5, п. 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128. </w:t>
      </w:r>
      <w:r>
        <w:rPr>
          <w:rFonts w:ascii="Times New Roman" w:hAnsi="Times New Roman"/>
          <w:sz w:val="22"/>
        </w:rPr>
        <w:t>Согласно ПУЭ (п. 3.4.5, п. 3), какова допустимая потеря напряжения в цепях оперативного тока до электромагнитов управления с трёхкратной форсировкой?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более 3% при наибольшем токе нагрузки.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Не более 10% при наибольшем токе нагрузки.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Не более 15% при форсировочном значении тока.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Не более 25% при форсировочном значении тока.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ПУЭ, п. 3.4.5, п. 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129. </w:t>
      </w:r>
      <w:r>
        <w:rPr>
          <w:rFonts w:ascii="Times New Roman" w:hAnsi="Times New Roman"/>
          <w:sz w:val="22"/>
        </w:rPr>
        <w:t>Согласно ПУЭ (п. 2.3.124, п. 1), каков максимальный наружный диаметр пучка контрольных кабелей при прокладке на лотках?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более 200 мм.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Не более 100 мм.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Не более 150 мм.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Не более 75 мм.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ПУЭ, п. 2.3.124, п. 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130. </w:t>
      </w:r>
      <w:r>
        <w:rPr>
          <w:rFonts w:ascii="Times New Roman" w:hAnsi="Times New Roman"/>
          <w:sz w:val="22"/>
        </w:rPr>
        <w:t>Согласно ПУЭ (п. 3.4.16), какие устройства должны предусматриваться для проведения эксплуатационных проверок в цепях защиты и автоматики?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Переносные испытательные стенды с подключением через разъёмные соединители.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Испытательные блоки или измерительные зажимы, обеспечивающие отключение и закорачивание токовых цепей.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Съёмные клеммные колодки с возможностью быстрого отсоединения кабелей.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Встроенные в устройства защиты тестовые точки с автоматическим закорачиванием.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ПУЭ, п. 3.4.16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131. </w:t>
      </w:r>
      <w:r>
        <w:rPr>
          <w:rFonts w:ascii="Times New Roman" w:hAnsi="Times New Roman"/>
          <w:sz w:val="22"/>
        </w:rPr>
        <w:t>Согласно ПУЭ (п. 3.4.3), на электростанциях и подстанциях для вторичных цепей следует применять контрольные кабели с медными жилами при мощности генераторов: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более 50 МВт в цепях измерительных трансформаторов тока и напряжения.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более 100 МВт — во всех вторичных цепях электростанции.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более 100 МВт — во всех вторичных цепях, за исключением цепей вспомогательных сооружений.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независимо от мощности генераторов — во взрывоопасных зонах класса B-Ia.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ПУЭ, п. 3.4.3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132. </w:t>
      </w:r>
      <w:r>
        <w:rPr>
          <w:rFonts w:ascii="Times New Roman" w:hAnsi="Times New Roman"/>
          <w:sz w:val="22"/>
        </w:rPr>
        <w:t>Согласно ПУЭ (п. 3.4.4, п. 1), каково минимальное сечение алюминиевых жил контрольных кабелей для присоединения под винт к зажимам панелей?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менее 1,0 мм² для алюминиевых жил контрольных кабелей.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Не менее 4,0 мм² для алюминиевых жил контрольных кабелей.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Не менее 2,5 мм² для алюминиевых жил контрольных кабелей.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Не менее 1,5 мм² для алюминиевых жил контрольных кабелей.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ПУЭ, п. 3.4.4, п. 1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Блок 8. SCADA-системы (18 вопросов)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133. </w:t>
      </w:r>
      <w:r>
        <w:rPr>
          <w:rFonts w:ascii="Times New Roman" w:hAnsi="Times New Roman"/>
          <w:sz w:val="22"/>
        </w:rPr>
        <w:t>Согласно стандарту ISA-95, какой уровень иерархии АСУ ТП осуществляет управление отдельными контурами регулирования (ПЛК)?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Уровень 0 — физический процесс (технологическое оборудование).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Уровень 2 — управление участком (SCADA-система, мониторинг).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Уровень 1 — непосредственный контроль (ПЛК, сбор данных).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Уровень 3 — производственное управление (MES, планирование).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Стандарт ISA-95, уровень 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134. </w:t>
      </w:r>
      <w:r>
        <w:rPr>
          <w:rFonts w:ascii="Times New Roman" w:hAnsi="Times New Roman"/>
          <w:sz w:val="22"/>
        </w:rPr>
        <w:t>Какой протокол связи обеспечивает объектно-ориентированную информационную модель с адресацией по URL и встроенные механизмы безопасности?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Modbus TCP, работающий на базе TCP/IP с функциональными кодами.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IEC 60870-5-104, применяемый для телеуправления в электроэнергетике.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HART-протокол, обеспечивающий цифровую передачу поверх сигнала 4-20 мА.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OPC UA с адресацией по URL и механизмами шифрования и аутентификации.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Спецификация OPC UA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135. </w:t>
      </w:r>
      <w:r>
        <w:rPr>
          <w:rFonts w:ascii="Times New Roman" w:hAnsi="Times New Roman"/>
          <w:sz w:val="22"/>
        </w:rPr>
        <w:t>Какой протокол используется в электроэнергетике для передачи телеизмерений и телеуправления поверх TCP/IP?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IEC 60870-5-104 для телеметрической информации поверх TCP/IP.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Modbus RTU, работающий по последовательному интерфейсу RS-485.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OPC UA для интеграции разнородного оборудования.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Profibus DP для связи с полевыми устройствами.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Стандарт МЭК 60870-5-104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136. </w:t>
      </w:r>
      <w:r>
        <w:rPr>
          <w:rFonts w:ascii="Times New Roman" w:hAnsi="Times New Roman"/>
          <w:sz w:val="22"/>
        </w:rPr>
        <w:t>Какова основная функция сервера ввода-вывода (I/O-сервера) в архитектуре SCADA?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Хранение исторических данных и их архивация в базе данных.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Обмен данными с контроллерами и приборами по промышленным протоколам.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Отображение мнемосхем и графических интерфейсов оператора.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Генерация отчётов и ведение журнала аварийных сообщений.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Архитектура SCADA-систем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137. </w:t>
      </w:r>
      <w:r>
        <w:rPr>
          <w:rFonts w:ascii="Times New Roman" w:hAnsi="Times New Roman"/>
          <w:sz w:val="22"/>
        </w:rPr>
        <w:t>Что такое тег (параметр) в контексте SCADA-системы?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Именованный элемент данных, связанный с конкретным параметром процесса.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Физический канал связи между сервером SCADA и контроллером.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Программный модуль, отвечающий за обработку аварийных сигналов.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Аппаратный модуль аналогового или дискретного ввода-вывода.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Терминология SCADA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138. </w:t>
      </w:r>
      <w:r>
        <w:rPr>
          <w:rFonts w:ascii="Times New Roman" w:hAnsi="Times New Roman"/>
          <w:sz w:val="22"/>
        </w:rPr>
        <w:t>Какой режим резервирования серверов SCADA обеспечивает автоматическое переключение без потери данных?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Холодное резервирование — резервный сервер включается вручную после отказа.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Тёплое резервирование — резервный сервер запущен, но не обрабатывает данные.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Горячее резервирование (hot standby) с синхронизацией и автоматическим переключением.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Каскадное резервирование — несколько серверов делят нагрузку поровну.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Отказоустойчивость SCADA-систем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139. </w:t>
      </w:r>
      <w:r>
        <w:rPr>
          <w:rFonts w:ascii="Times New Roman" w:hAnsi="Times New Roman"/>
          <w:sz w:val="22"/>
        </w:rPr>
        <w:t>Какова основная функция модуля историзации (historian) в SCADA-системе?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Долгосрочное хранение архивных данных для анализа трендов и отчётов.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Отображение текущих значений параметров на мнемосхемах в реальном времени.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Автоматическое управление параметрами по ПИД-закону.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Обработка аварийных сигналов и формирование команд телеуправления.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Функции SCADA-систем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140. </w:t>
      </w:r>
      <w:r>
        <w:rPr>
          <w:rFonts w:ascii="Times New Roman" w:hAnsi="Times New Roman"/>
          <w:sz w:val="22"/>
        </w:rPr>
        <w:t>Что представляет собой HMI в составе SCADA-системы?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Аппаратный модуль сопряжения полевых устройств с шиной данных.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Программный комплекс для расчёта погрешностей измерительных каналов.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Устройство резервирования питания серверов и контроллеров.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Интерфейс взаимодействия оператора с системой: мнемосхемы, тренды, панели.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Терминология SCADA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141. </w:t>
      </w:r>
      <w:r>
        <w:rPr>
          <w:rFonts w:ascii="Times New Roman" w:hAnsi="Times New Roman"/>
          <w:sz w:val="22"/>
        </w:rPr>
        <w:t>Какой метод обмена данными использует протокол Modbus TCP?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Публикация-подписка (publish-subscribe) с автоматической рассылкой.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Мастер-слейв (запрос-ответ), сервер — мастер, контроллер — слейв.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Широковещательная передача данных одновременно всем узлам сети.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Дуплексный обмен с синхронным подтверждением каждого байта.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Спецификация Modbus TCP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142. </w:t>
      </w:r>
      <w:r>
        <w:rPr>
          <w:rFonts w:ascii="Times New Roman" w:hAnsi="Times New Roman"/>
          <w:sz w:val="22"/>
        </w:rPr>
        <w:t>Для чего в SCADA-системе применяется функция трендов?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Для автоматического отключения оборудования при критических параметрах.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Для проверки целостности данных при передаче по каналам связи.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Для резервирования каналов связи между сервером и контроллерами.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Для графического отображения изменения значений параметров во времени.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Функции SCADA-систем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143. </w:t>
      </w:r>
      <w:r>
        <w:rPr>
          <w:rFonts w:ascii="Times New Roman" w:hAnsi="Times New Roman"/>
          <w:sz w:val="22"/>
        </w:rPr>
        <w:t>Какова функция аварийной сигнализации в SCADA-системе?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Обнаружение отклонений параметров от заданных пределов и оповещение оператора.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Архивация данных о состоянии оборудования за длительный период.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Обмен данными с контроллерами по промышленным протоколам связи.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Автоматическое регулирование параметров по ПИД-закону.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Функции SCADA-систем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144. </w:t>
      </w:r>
      <w:r>
        <w:rPr>
          <w:rFonts w:ascii="Times New Roman" w:hAnsi="Times New Roman"/>
          <w:sz w:val="22"/>
        </w:rPr>
        <w:t>Какой компонент SCADA обеспечивает хранение конфигурации, архивов и генерацию отчётов с использованием СУБД?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Сервер ввода-вывода (I/O-сервер).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Операторская станция (HMI-клиент), отображающая мнемосхемы.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Сервер SCADA (сервер приложений), взаимодействующий с СУБД.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Контроллер ПЛК, выполняющий программы автоматического регулирования.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Архитектура SCADA-систем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145. </w:t>
      </w:r>
      <w:r>
        <w:rPr>
          <w:rFonts w:ascii="Times New Roman" w:hAnsi="Times New Roman"/>
          <w:sz w:val="22"/>
        </w:rPr>
        <w:t>Согласно ISA-95, какому уровню соответствует SCADA-система, осуществляющая мониторинг и управление производственным участком?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Уровень 0 — физический процесс.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Уровень 1 — управление контурами регулирования (ПЛК).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Уровень 2 — управление производственным участком (SCADA, мониторинг).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Уровень 3 — производственное управление (MES).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Стандарт ISA-95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146. </w:t>
      </w:r>
      <w:r>
        <w:rPr>
          <w:rFonts w:ascii="Times New Roman" w:hAnsi="Times New Roman"/>
          <w:sz w:val="22"/>
        </w:rPr>
        <w:t>Какой механизм безопасности используется в протоколе OPC UA?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Физическое разделение промышленной и офисной сетей коммутаторами.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Применение паролей на уровне операционной системы для доступа к папкам.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Использование общей базы паролей для всех узлов сети.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Шифрование, аутентификация и авторизация на основе сертификатов.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Спецификация OPC UA, профиль безопасности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147. </w:t>
      </w:r>
      <w:r>
        <w:rPr>
          <w:rFonts w:ascii="Times New Roman" w:hAnsi="Times New Roman"/>
          <w:sz w:val="22"/>
        </w:rPr>
        <w:t>Какой формат данных используется в протоколе IEC 60870-5-104 для описания типа передаваемой информации?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Формат XML с описанием структуры сообщения.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Типовые идентификаторы (TypeID) в формате ASDU, определяющие тип информации.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Формат JSON с полями type, value, timestamp.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Бинарный формат с фиксированной длиной каждого поля без заголовков.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Стандарт МЭК 60870-5-104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148. </w:t>
      </w:r>
      <w:r>
        <w:rPr>
          <w:rFonts w:ascii="Times New Roman" w:hAnsi="Times New Roman"/>
          <w:sz w:val="22"/>
        </w:rPr>
        <w:t>Что такое OPC-сервер в контексте интеграции оборудования в SCADA?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Программный модуль, обеспечивающий стандартизованный доступ к данным устройств разных производителей.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Аппаратный шлюз для преобразования сигналов 4-20 мА в цифровой код.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Сетевой коммутатор промышленного исполнения для организации Ethernet.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Блок питания с резервированием для серверов SCADA-системы.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Спецификация OPC UA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149. </w:t>
      </w:r>
      <w:r>
        <w:rPr>
          <w:rFonts w:ascii="Times New Roman" w:hAnsi="Times New Roman"/>
          <w:sz w:val="22"/>
        </w:rPr>
        <w:t>Для чего в SCADA используется функция сбора данных (data acquisition)?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Для генерации отчётов о работе оборудования за смену.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Для передачи команд управления на исполнительные механизмы.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Для периодического опроса контроллеров, чтения текущих значений и записи в базу.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Для расчёта статистических характеристик технологического процесса.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Функции SCADA-систем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150. </w:t>
      </w:r>
      <w:r>
        <w:rPr>
          <w:rFonts w:ascii="Times New Roman" w:hAnsi="Times New Roman"/>
          <w:sz w:val="22"/>
        </w:rPr>
        <w:t>Какой принцип резервирования предусматривает автоматическое переключение SCADA-серверов без прерывания управления?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Горячее резервирование с синхронизацией баз данных и автоматическим failover.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Холодное резервирование с ручным переключением после диагностики отказа.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Дублирование каналов связи без резервирования вычислительных ресурсов.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Распределённая обработка между несколькими равноправными серверами.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Отказоустойчивость SCADA-систем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Блок 9. Термопреобразователи (19 вопросов)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151. </w:t>
      </w:r>
      <w:r>
        <w:rPr>
          <w:rFonts w:ascii="Times New Roman" w:hAnsi="Times New Roman"/>
          <w:sz w:val="22"/>
        </w:rPr>
        <w:t>Какой тип термопары имеет градуировку типа К (хромель-алюмель) и применяется до 1100 °C?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ТХА (хромель-алюмель, тип K).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ТХК (хромель-копель, тип L).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ТПП (платинородий-платина, тип S).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ТНН (никросил-нисил, тип N).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ГОСТ Р 8.585-2001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152. </w:t>
      </w:r>
      <w:r>
        <w:rPr>
          <w:rFonts w:ascii="Times New Roman" w:hAnsi="Times New Roman"/>
          <w:sz w:val="22"/>
        </w:rPr>
        <w:t>Какой тип термопары (тип S) содержит платинородий-платиновые электроды и применяется до 1600 °C?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ТХА (хромель-алюмель, тип K).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ТПР (платинородий-платинородий, тип B).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ТПП (платинородий-платина, тип S).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ТНН (никросил-нисил, тип N).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Р 8.585-2001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153. </w:t>
      </w:r>
      <w:r>
        <w:rPr>
          <w:rFonts w:ascii="Times New Roman" w:hAnsi="Times New Roman"/>
          <w:sz w:val="22"/>
        </w:rPr>
        <w:t>Какой тип термопары типа В (платинородий 30/6) применяется до 1800 °C?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ТХК (хромель-копель, тип L).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ТПР (платинородий-платинородий, тип B).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ТПП (платинородий-платина, тип S).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ТНН (никросил-нисил, тип N).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Р 8.585-2001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154. </w:t>
      </w:r>
      <w:r>
        <w:rPr>
          <w:rFonts w:ascii="Times New Roman" w:hAnsi="Times New Roman"/>
          <w:sz w:val="22"/>
        </w:rPr>
        <w:t>Какой тип термосопротивления с номинальным сопротивлением 100 Ом при 0 °C из платины обозначается ТСП (Pt100)?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ТСМ 50 (медный термосопротивление 50 Ом, Cu50).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ТСП 100 (платиновый термосопротивление 100 Ом, Pt100).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ТСП 500 (платиновый термосопротивление 500 Ом, Pt500).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ТСМ 100 (медный термосопротивление 100 Ом, Cu100).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6651-2009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155. </w:t>
      </w:r>
      <w:r>
        <w:rPr>
          <w:rFonts w:ascii="Times New Roman" w:hAnsi="Times New Roman"/>
          <w:sz w:val="22"/>
        </w:rPr>
        <w:t>Какова основная функция схемы компенсации холодного спая термопары?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Увеличение термоЭДС термопары для повышения чувствительности.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Устранение влияния температуры свободных концов на результат измерения.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Стабилизация температуры рабочего спая термопары.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Предотвращение окисления электродов при высоких температурах.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Общепринятые принципы измерения температуры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156. </w:t>
      </w:r>
      <w:r>
        <w:rPr>
          <w:rFonts w:ascii="Times New Roman" w:hAnsi="Times New Roman"/>
          <w:sz w:val="22"/>
        </w:rPr>
        <w:t>Какая схема подключения ТС обеспечивает компенсацию сопротивления соединительных проводов?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Двухпроводная схема подключения термосопротивления к измерительному мосту.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Четырёхпроводная схема подключения термосопротивления.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Однопроводная схема с общим заземлением.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Трёхпроводная схема подключения термосопротивления к измерительному мосту.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Схемы подключения термосопротивлений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157. </w:t>
      </w:r>
      <w:r>
        <w:rPr>
          <w:rFonts w:ascii="Times New Roman" w:hAnsi="Times New Roman"/>
          <w:sz w:val="22"/>
        </w:rPr>
        <w:t>Какая схема подключения ТС исключает влияние сопротивления всех соединительных проводов?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Двухпроводная — наиболее точная при коротких проводах.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Трёхпроводная — частичная компенсация сопротивления проводов.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Однопроводная с экранированием от наводок.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Четырёхпроводная — полное исключение влияния проводов.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Схемы подключения термосопротивлений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158. </w:t>
      </w:r>
      <w:r>
        <w:rPr>
          <w:rFonts w:ascii="Times New Roman" w:hAnsi="Times New Roman"/>
          <w:sz w:val="22"/>
        </w:rPr>
        <w:t>Согласно ФЗ-102, термопреобразователи подлежат обязательной поверке в каком случае?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Во всех случаях при применении для измерений с обязательными метрологическими требованиями.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Только при эксплуатации в энергетике на объектах электроэнергетики.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Только при применении для коммерческого учёта теплоэнергии.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Только при экспорте термопреобразователей за рубеж.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ФЗ-102, статья 13, часть 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159. </w:t>
      </w:r>
      <w:r>
        <w:rPr>
          <w:rFonts w:ascii="Times New Roman" w:hAnsi="Times New Roman"/>
          <w:sz w:val="22"/>
        </w:rPr>
        <w:t>Какой тип термопары ТХК (тип L) применяется до какого предела температуры?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До 600 °C в окислительной и нейтральной средах.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До 800 °C в окислительной и нейтральной средах.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До 1100 °C в окислительной и нейтральной средах.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До 1300 °C в восстановительной среде.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ГОСТ Р 8.585-2001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160. </w:t>
      </w:r>
      <w:r>
        <w:rPr>
          <w:rFonts w:ascii="Times New Roman" w:hAnsi="Times New Roman"/>
          <w:sz w:val="22"/>
        </w:rPr>
        <w:t>Какое преимущество термопары ТНН (N) по сравнению с ТХА (K)?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Большая термоЭДС в диапазоне до 400 °C.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Более низкая стоимость и широкая доступность.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Повышенная стабильность при температурах выше 400 °C и устойчивость к окислению.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Применение в криогенных температурах до минус 270 °C.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Р 8.585-2001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161. </w:t>
      </w:r>
      <w:r>
        <w:rPr>
          <w:rFonts w:ascii="Times New Roman" w:hAnsi="Times New Roman"/>
          <w:sz w:val="22"/>
        </w:rPr>
        <w:t>Согласно ФЗ-102, кто имеет право проводить поверку термопреобразователей в сфере госрегулирования?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Любая организация, имеющая специалиста с группой по электробезопасности IV.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Юридические лица и ИП, аккредитованные в области поверки СИ.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Только государственные научные метрологические институты (ГНМИ).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Организации-изготовители термопреобразователей по месту производства.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ФЗ-102, статья 13, часть 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162. </w:t>
      </w:r>
      <w:r>
        <w:rPr>
          <w:rFonts w:ascii="Times New Roman" w:hAnsi="Times New Roman"/>
          <w:sz w:val="22"/>
        </w:rPr>
        <w:t>ТСП (Pt100) при 0 °C имеет сопротивление 100 Ом. Какое сопротивление при 100 °C (alpha=0,00385)?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Приблизительно 134,7 Ом при 100 °C.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Приблизительно 138,5 Ом при 100 °C.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Приблизительно 142,0 Ом при 100 °C.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Приблизительно 150,0 Ом при 100 °C.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6651-2009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163. </w:t>
      </w:r>
      <w:r>
        <w:rPr>
          <w:rFonts w:ascii="Times New Roman" w:hAnsi="Times New Roman"/>
          <w:sz w:val="22"/>
        </w:rPr>
        <w:t>Какова особенность двухпроводной схемы подключения ТС по сравнению с трёхпроводной?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Двухпроводная полностью исключает влияние сопротивления проводов.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Двухпроводная применима только при коротких проводах с известным сопротивлением.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Двухпроводная обеспечивает более высокую помехоустойчивость.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Двухпроводная обязательна для платиновых ТС Pt100.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Схемы подключения термосопротивлений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164. </w:t>
      </w:r>
      <w:r>
        <w:rPr>
          <w:rFonts w:ascii="Times New Roman" w:hAnsi="Times New Roman"/>
          <w:sz w:val="22"/>
        </w:rPr>
        <w:t>Что означает межповерочный интервал, установленный при первичной поверке термопреобразователя?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Максимальный срок эксплуатации до списания.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Срок, в течение которого изготовитель гарантирует работу.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Период, в течение которого обеспечивается метрологическая исправность.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Время непрерывной работы без технического обслуживания.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ФЗ-102, статья 13; ГОСТ Р 8.568-2017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165. </w:t>
      </w:r>
      <w:r>
        <w:rPr>
          <w:rFonts w:ascii="Times New Roman" w:hAnsi="Times New Roman"/>
          <w:sz w:val="22"/>
        </w:rPr>
        <w:t>Для измерений от минус 200 до плюс 600 °C какой тип ТС применяется наиболее широко?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ТСП (платиновый, Pt100) по ГОСТ 6651-2009.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ТСМ (медный, Cu50) по ГОСТ 6651-2009.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ТХК (хромель-копель, тип L).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ТХА (хромель-алюмель, тип K).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ГОСТ 6651-2009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166. </w:t>
      </w:r>
      <w:r>
        <w:rPr>
          <w:rFonts w:ascii="Times New Roman" w:hAnsi="Times New Roman"/>
          <w:sz w:val="22"/>
        </w:rPr>
        <w:t>В каком диапазоне применяется ТСМ (Cu50)?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От минус 200 до плюс 850 °C в агрессивных средах.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От 0 до плюс 1800 °C в окислительной среде.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От минус 50 до плюс 150 °C в неагрессивных средах.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От минус 180 до плюс 600 °C в промышленных условиях.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6651-2009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167. </w:t>
      </w:r>
      <w:r>
        <w:rPr>
          <w:rFonts w:ascii="Times New Roman" w:hAnsi="Times New Roman"/>
          <w:sz w:val="22"/>
        </w:rPr>
        <w:t>Какой метод компенсации холодного спая применяется в современных измерительных преобразователях?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Механический — помещение свободных концов в сосуд с тающим льдом (0 °C).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Электронный — измерение температуры свободных концов датчиком и алгоритмическая коррекция.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Термический — подогрев свободных концов до фиксированной температуры 50 °C.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Программный — использование постоянной поправки, установленной при наладке.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Общепринятые принципы измерения температуры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168. </w:t>
      </w:r>
      <w:r>
        <w:rPr>
          <w:rFonts w:ascii="Times New Roman" w:hAnsi="Times New Roman"/>
          <w:sz w:val="22"/>
        </w:rPr>
        <w:t>Согласно ФЗ-102, какая запись вносится после успешной поверки термопреобразователя?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Запись о годности с указанием даты следующей поверки и подтверждением соответствия.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Запись о ремонте и замене чувствительного элемента.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Запись о калибровке с указанием поправочных коэффициентов.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Запись о техническом осмотре и отсутствии механических повреждений.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ФЗ-102, статья 13, часть 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169. </w:t>
      </w:r>
      <w:r>
        <w:rPr>
          <w:rFonts w:ascii="Times New Roman" w:hAnsi="Times New Roman"/>
          <w:sz w:val="22"/>
        </w:rPr>
        <w:t>Какой метод компенсации холодного спая термопары является наиболее точным?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Поддержание температуры свободных концов ровно 0 °C с помощью термостата.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Использование постоянной поправки, заданной при наладке системы.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Полное исключение свободных концов при интегрировании термопары в датчик.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Применение медных соединительных проводов вместо компенсационных.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Общепринятые принципы измерения температуры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Блок 10. Расходомеры (19 вопросов)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170. </w:t>
      </w:r>
      <w:r>
        <w:rPr>
          <w:rFonts w:ascii="Times New Roman" w:hAnsi="Times New Roman"/>
          <w:sz w:val="22"/>
        </w:rPr>
        <w:t>На каком принципе основано действие электромагнитного расходомера?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На измерении разности давлений до и после сужающего устройства.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На эффекте электромагнитной индукции — ЭДС в проводящей жидкости в магнитном поле.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На ультразвуковом измерении времени прохождения сигнала по потоку и против потока.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На измерении силы Кориолиса, действующей на движущуюся жидкость в вибрирующей трубке.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ФЗ-102, статья 13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171. </w:t>
      </w:r>
      <w:r>
        <w:rPr>
          <w:rFonts w:ascii="Times New Roman" w:hAnsi="Times New Roman"/>
          <w:sz w:val="22"/>
        </w:rPr>
        <w:t>Какой тип расходомера измеряет массовый расход непосредственно, независимо от плотности среды?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Электромагнитный расходомер — измеряет объёмный расход электропроводных жидкостей.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Ультразвуковой расходомер — измеряет скорость потока по времени прохождения ультразвука.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Кориолисовый расходомер — измеряет массовый расход на основе силы Кориолиса.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Расходомер переменного перепада с диафрагмой — измеряет объёмный расход косвенно.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ФЗ-102, статья 13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172. </w:t>
      </w:r>
      <w:r>
        <w:rPr>
          <w:rFonts w:ascii="Times New Roman" w:hAnsi="Times New Roman"/>
          <w:sz w:val="22"/>
        </w:rPr>
        <w:t>На каком принципе основан вихревой расходомер?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На измерении массы движущейся жидкости в вибрирующей трубке (эффект Кориолиса).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На ультразвуковом измерении разности времени прохождения сигнала.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На возникновении и подсчёте вихрей за телом обтекания, частота которых пропорциональна расходу.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На законе Фарадея — возникновении ЭДС в проводящей жидкости в магнитном поле.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ФЗ-102, статья 13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173. </w:t>
      </w:r>
      <w:r>
        <w:rPr>
          <w:rFonts w:ascii="Times New Roman" w:hAnsi="Times New Roman"/>
          <w:sz w:val="22"/>
        </w:rPr>
        <w:t>Какое требование к монтажу распространяется на расходомеры переменного перепада давления?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Прямые участки до и после диафрагмы не нормируются — достаточно фланцевых соединений.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Необходимы прямые участки определённой длины до и после сужающего устройства.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Достаточно прямого участка только до диафрагмы — после стабилизируется автоматически.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Прямые участки нужны только для расходомеров диаметром менее 100 мм.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8.586.1-2005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174. </w:t>
      </w:r>
      <w:r>
        <w:rPr>
          <w:rFonts w:ascii="Times New Roman" w:hAnsi="Times New Roman"/>
          <w:sz w:val="22"/>
        </w:rPr>
        <w:t>Какой тип расходомера применяется для электропроводных жидкостей без создания перепада давления?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Вихревой — измеряет расход по частоте срыва вихрей.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Электромагнитный — измеряет ЭДС в проводящей жидкости в магнитном поле.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Кориолисовый — измеряет массовый расход по эффекту Кориолиса.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Ультразвуковой — измеряет время прохождения ультразвукового сигнала.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ФЗ-102, статья 13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175. </w:t>
      </w:r>
      <w:r>
        <w:rPr>
          <w:rFonts w:ascii="Times New Roman" w:hAnsi="Times New Roman"/>
          <w:sz w:val="22"/>
        </w:rPr>
        <w:t>Согласно ФЗ-102, расходомеры для коммерческого учёта энергоносителей подлежат: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Первичной аттестации с оформлением свидетельства об аттестации.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Обязательной поверке аккредитованными организациями.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Техническому осмотру с записью в журнале эксплуатации.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Калибровке организацией-изготовителем при выпуске.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ФЗ-102, статья 13, часть 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176. </w:t>
      </w:r>
      <w:r>
        <w:rPr>
          <w:rFonts w:ascii="Times New Roman" w:hAnsi="Times New Roman"/>
          <w:sz w:val="22"/>
        </w:rPr>
        <w:t>Какой тип расходомера измеряет расход методом времени прохождения ультразвукового сигнала?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Кориолисовый — на основе эффекта Кориолиса в вибрирующей трубке.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Электромагнитный — на основе закона электромагнитной индукции.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Ультразвуковой — по разности времени прохождения по и против потока.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Вихревой — по частоте срыва вихрей за телом обтекания.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ФЗ-102, статья 13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177. </w:t>
      </w:r>
      <w:r>
        <w:rPr>
          <w:rFonts w:ascii="Times New Roman" w:hAnsi="Times New Roman"/>
          <w:sz w:val="22"/>
        </w:rPr>
        <w:t>Какое основное ограничение электромагнитного расходомера по типу среды?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Не пригоден для газов и паров — среда должна иметь электропроводность.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Не пригоден для чистой воды — слишком высокая электропроводность.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Ограничен температурой — не применяется выше 50 °C.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Ограничен давлением — максимальное не превышает 0,6 МПа.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Общие принципы измерения расхода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178. </w:t>
      </w:r>
      <w:r>
        <w:rPr>
          <w:rFonts w:ascii="Times New Roman" w:hAnsi="Times New Roman"/>
          <w:sz w:val="22"/>
        </w:rPr>
        <w:t>Какое преимущество кориолисовых расходомеров по сравнению с объёмными?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Простота монтажа — не требуются прямые участки трубопровода.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Низкая стоимость при больших диаметрах трубопровода.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Прямое измерение массового расхода и плотности, высокая точность.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Возможность применения для любых сред при любом давлении.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ФЗ-102, статья 13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179. </w:t>
      </w:r>
      <w:r>
        <w:rPr>
          <w:rFonts w:ascii="Times New Roman" w:hAnsi="Times New Roman"/>
          <w:sz w:val="22"/>
        </w:rPr>
        <w:t>Для расходомера переменного перепада давления какая величина измеряется первичным преобразователем?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Скорость потока в трубопроводе непосредственно.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Разность давлений до и после сужающего устройства.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Массовый расход жидкости или газа.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Частота пульсаций давления в потоке.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8.586.1-2005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180. </w:t>
      </w:r>
      <w:r>
        <w:rPr>
          <w:rFonts w:ascii="Times New Roman" w:hAnsi="Times New Roman"/>
          <w:sz w:val="22"/>
        </w:rPr>
        <w:t>Для каких сред применяется вихревой расходомер?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Только для электропроводных жидкостей — воды, растворов.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Для жидкостей, газов и паров, не содержащих крупных механических примесей.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Только для высоковязких жидкостей — масел, нефтепродуктов.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Только для чистых газов при высоком давлении.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Общие принципы измерения расхода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181. </w:t>
      </w:r>
      <w:r>
        <w:rPr>
          <w:rFonts w:ascii="Times New Roman" w:hAnsi="Times New Roman"/>
          <w:sz w:val="22"/>
        </w:rPr>
        <w:t>При отрицательных результатах поверки расходомера какая запись вносится в паспорт?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Запись о годности с ограничением срока действия.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Запись о непригодности с указанием причин и аннулированием свидетельства.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Запись о необходимости калибровки с поправочными коэффициентами.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Запись о продлении межповерочного интервала на один год.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ФЗ-102, статья 13, часть 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182. </w:t>
      </w:r>
      <w:r>
        <w:rPr>
          <w:rFonts w:ascii="Times New Roman" w:hAnsi="Times New Roman"/>
          <w:sz w:val="22"/>
        </w:rPr>
        <w:t>Какое устройство является основным элементом расходомера переменного перепада давления?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Измерительная трубка вибрирующего типа с датчиками угловой деформации.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Сужающее устройство (диафрагма, сопло/труба Вентури), создающее перепад давления.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Ультразвуковой излучатель и приёмник на трубопроводе под углом.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Обмотка возбуждения и электроды измерения ЭДС на корпусе трубопровода.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8.586.1-2005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183. </w:t>
      </w:r>
      <w:r>
        <w:rPr>
          <w:rFonts w:ascii="Times New Roman" w:hAnsi="Times New Roman"/>
          <w:sz w:val="22"/>
        </w:rPr>
        <w:t>Какие факторы влияют на погрешность диафрагменного расходомера?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Только температура и давление измеряемой среды.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Длина прямых участков, точность изготовления диафрагмы, износ измерительного участка.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Только влажность и химический состав среды.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Только вибрация трубопровода и электромагнитные помехи.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8.586.1-2005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184. </w:t>
      </w:r>
      <w:r>
        <w:rPr>
          <w:rFonts w:ascii="Times New Roman" w:hAnsi="Times New Roman"/>
          <w:sz w:val="22"/>
        </w:rPr>
        <w:t>Какой тип расходомера измеряет как массовый расход, так и плотность среды?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Электромагнитный — измеряет объёмный расход и электропроводность.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Вихревой — измеряет объёмный расход и частоту пульсаций.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Кориолисовый — измеряет массовый расход и плотность одновременно.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Ультразвуковой — измеряет скорость потока и плотность среды.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ФЗ-102, статья 13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185. </w:t>
      </w:r>
      <w:r>
        <w:rPr>
          <w:rFonts w:ascii="Times New Roman" w:hAnsi="Times New Roman"/>
          <w:sz w:val="22"/>
        </w:rPr>
        <w:t>Согласно ФЗ-102, информация о результатах поверки расходомера вносится в: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Журнал эксплуатации организации-потребителя.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Федеральный информационный фонд по обеспечению единства измерений (ФИФ ЕИ).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Паспорт изделия и документацию организации-изготовителя.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Реестр аккредитованных организаций Росаккредитации.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ФЗ-102, статья 13, часть 4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186. </w:t>
      </w:r>
      <w:r>
        <w:rPr>
          <w:rFonts w:ascii="Times New Roman" w:hAnsi="Times New Roman"/>
          <w:sz w:val="22"/>
        </w:rPr>
        <w:t>Какое требование к диаметру трубопровода при установке диафрагменного расходомера является обязательным?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Диаметр диафрагмы равен внутреннему диаметру трубопровода.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Диаметр трубопровода на измерительном участке должен соответствовать расчётному.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Диаметр трубопровода на измерительном участке не нормируется.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Диаметр диафрагмы должен быть не менее 50% от диаметра трубопровода.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8.586.1-2005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187. </w:t>
      </w:r>
      <w:r>
        <w:rPr>
          <w:rFonts w:ascii="Times New Roman" w:hAnsi="Times New Roman"/>
          <w:sz w:val="22"/>
        </w:rPr>
        <w:t>Для чего в диафрагменном расходомере применяется дифманометр?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Для измерения перепада давления на сужающем устройстве и преобразования в расход.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Для компенсации температурного расширения трубопровода.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Для фильтрации пульсаций давления в потоке.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Для автоматической настройки коэффициента расхода.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ГОСТ 8.586.1-2005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188. </w:t>
      </w:r>
      <w:r>
        <w:rPr>
          <w:rFonts w:ascii="Times New Roman" w:hAnsi="Times New Roman"/>
          <w:sz w:val="22"/>
        </w:rPr>
        <w:t>Какой тип расходомера наиболее чувствителен к профилю скорости потока в трубопроводе?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Кориолисовый расходомер — не зависит от профиля скорости.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Электромагнитный расходомер — зависит от профиля скорости.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Расходомер переменного перепада давления — чувствителен к профилю потока.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Ультразвуковой расходомер — полностью независим от профиля скорости.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ГОСТ 8.586.1-2005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Блок 11. Датчики давления (18 вопросов)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189. </w:t>
      </w:r>
      <w:r>
        <w:rPr>
          <w:rFonts w:ascii="Times New Roman" w:hAnsi="Times New Roman"/>
          <w:sz w:val="22"/>
        </w:rPr>
        <w:t>На каком принципе основано действие тензометрического датчика давления?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На изменении ёмкости конденсатора при деформации упругого элемента.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На пьезоэлектрическом эффекте — возникновении заряда на пьезокристалле.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На изменении сопротивления тензорезисторов при деформации упругого элемента.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На изменении индуктивности катушки при перемещении ферромагнитного сердечника.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ФЗ-102, статья 13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190. </w:t>
      </w:r>
      <w:r>
        <w:rPr>
          <w:rFonts w:ascii="Times New Roman" w:hAnsi="Times New Roman"/>
          <w:sz w:val="22"/>
        </w:rPr>
        <w:t>На каком принципе основано действие пьезоэлектрического датчика давления?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На изменении сопротивления тензорезисторов при деформации мембраны.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На изменении ёмкости между подвижной и неподвижной обкладками конденсатора.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На пьезоэлектрическом эффекте — генерации заряда пьезокристаллом при механическом воздействии.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На изменении индуктивности обмотки при смещении сердечника от давления.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ФЗ-102, статья 13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191. </w:t>
      </w:r>
      <w:r>
        <w:rPr>
          <w:rFonts w:ascii="Times New Roman" w:hAnsi="Times New Roman"/>
          <w:sz w:val="22"/>
        </w:rPr>
        <w:t>На каком принципе основано действие ёмкостного датчика давления?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На изменении электрической ёмкости между обкладками при деформации мембраны.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На пьезоэлектрическом эффекте в кристаллическом элементе.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На изменении сопротивления полупроводникового моста при деформации.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На изменении магнитной проницаемости ферромагнитного сердечника.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ФЗ-102, статья 13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192. </w:t>
      </w:r>
      <w:r>
        <w:rPr>
          <w:rFonts w:ascii="Times New Roman" w:hAnsi="Times New Roman"/>
          <w:sz w:val="22"/>
        </w:rPr>
        <w:t>Что такое класс точности манометра по ГОСТ?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Максимальное давление, которое манометр может выдержать без разрушения.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Отношение абсолютной погрешности к верхнему пределу измерений, выраженное в процентах.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Минимальное давление, при котором манометр выдаёт достоверные значения.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Диапазон давлений, в котором манометр обеспечивает заданную погрешность.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8.401-80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193. </w:t>
      </w:r>
      <w:r>
        <w:rPr>
          <w:rFonts w:ascii="Times New Roman" w:hAnsi="Times New Roman"/>
          <w:sz w:val="22"/>
        </w:rPr>
        <w:t>Согласно ФЗ-102, манометры для коммерческого учёта подлежат: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Калибровке организацией-потребителем с занесением в журнал.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Техническому освидетельствованию с периодичностью один раз в три года.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Обязательной поверке аккредитованными юридическими лицами.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Визуальному контролю с проверкой целостности стекла и корпуса.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ФЗ-102, статья 13, часть 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194. </w:t>
      </w:r>
      <w:r>
        <w:rPr>
          <w:rFonts w:ascii="Times New Roman" w:hAnsi="Times New Roman"/>
          <w:sz w:val="22"/>
        </w:rPr>
        <w:t>Для чего предназначены импульсные линии при установке датчиков на трубопроводах с агрессивными средами?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Для усиления сигнала датчика и снижения влияния электромагнитных помех.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Для разделения агрессивной среды и чувствительного элемента датчика.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Для охлаждения чувствительного элемента при высоких температурах.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Для создания дополнительного перепада давления для повышения чувствительности.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Общие принципы монтажа КИПиА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195. </w:t>
      </w:r>
      <w:r>
        <w:rPr>
          <w:rFonts w:ascii="Times New Roman" w:hAnsi="Times New Roman"/>
          <w:sz w:val="22"/>
        </w:rPr>
        <w:t>Что такое калибровка СИ (в отличие от поверки) согласно ФЗ-102?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Установление метрологических характеристик с выдачей свидетельства о поверке.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Определение метрологических характеристик СИ, не подлежащих государственному контролю.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Проверка соответствия СИ утверждённому типу и внесение в Реестр СИ РФ.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Определение пригодности СИ с подтверждением прослеживаемости к эталону.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ФЗ-102, статья 2, часть 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196. </w:t>
      </w:r>
      <w:r>
        <w:rPr>
          <w:rFonts w:ascii="Times New Roman" w:hAnsi="Times New Roman"/>
          <w:sz w:val="22"/>
        </w:rPr>
        <w:t>Какой датчик давления применяется как эталонное средство измерений?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Тензометрический датчик класса точности 0,1.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Пьезоэлектрический датчик с частотным выходным сигналом.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Ёмкостной датчик с микропроцессорной коррекцией погрешности.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Поршневой или грузопоршневой манометр — рабочий эталон.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ФЗ-102, статья 13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197. </w:t>
      </w:r>
      <w:r>
        <w:rPr>
          <w:rFonts w:ascii="Times New Roman" w:hAnsi="Times New Roman"/>
          <w:sz w:val="22"/>
        </w:rPr>
        <w:t>Какое требование к длине импульсных линий при установке датчиков давления на паропроводах?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Длина не нормируется при использовании разделительных сосудов.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Длина должна быть минимальной для снижения инерционности и погрешности.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Длина должна быть не менее 5 м для стабилизации давления.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Длина должна быть одинаковой для всех датчиков на объекте.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Общие принципы монтажа КИПиА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198. </w:t>
      </w:r>
      <w:r>
        <w:rPr>
          <w:rFonts w:ascii="Times New Roman" w:hAnsi="Times New Roman"/>
          <w:sz w:val="22"/>
        </w:rPr>
        <w:t>Какой выходной сигнал наиболее распространён для интеллектуальных преобразователей давления?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Пневматический сигнал 20-100 кПа по ГОСТ 26.011-80.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Аналоговый токовый сигнал 4-20 мА по ГОСТ 26.011-80.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Частотный сигнал с амплитудой от 0 до 5 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Аналоговый сигнал 0-10 В с потенциометрическим выходом.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ГОСТ 26.011-80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199. </w:t>
      </w:r>
      <w:r>
        <w:rPr>
          <w:rFonts w:ascii="Times New Roman" w:hAnsi="Times New Roman"/>
          <w:sz w:val="22"/>
        </w:rPr>
        <w:t>Согласно ФЗ-102, что является результатом успешной поверки манометра?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Выдача сертификата калибровки с указанием поправок.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Выдача свидетельства о поверке с указанием даты и межповерочного интервала.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Внесение записи в журнал технического обслуживания.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Выдача заключения с рекомендациями по замене.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ФЗ-102, статья 13, часть 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200. </w:t>
      </w:r>
      <w:r>
        <w:rPr>
          <w:rFonts w:ascii="Times New Roman" w:hAnsi="Times New Roman"/>
          <w:sz w:val="22"/>
        </w:rPr>
        <w:t>Какое преимущество тензометрического датчика по сравнению с пьезоэлектрическим?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Тензометрический датчик имеет нулевой дрейф нуля при длительной эксплуатации.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Тензометрический датчик позволяет измерять статическое и динамическое давление.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Тензометрический датчик не требует источника питания.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Тензометрический датчик имеет большую чувствительность к статическим давлениям.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Общие принципы измерения давления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201. </w:t>
      </w:r>
      <w:r>
        <w:rPr>
          <w:rFonts w:ascii="Times New Roman" w:hAnsi="Times New Roman"/>
          <w:sz w:val="22"/>
        </w:rPr>
        <w:t>Для чего при монтаже импульсных линий предусматривается уклон трубок?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Для уменьшения гидравлического сопротивления импульсной линии.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Для обеспечения удаления воздуха и конденсата из импульсной линии.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Для создания дополнительного гидростатического давления в линии.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Для компенсации температурного расширения жидкости в линии.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Общие принципы монтажа КИПиА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202. </w:t>
      </w:r>
      <w:r>
        <w:rPr>
          <w:rFonts w:ascii="Times New Roman" w:hAnsi="Times New Roman"/>
          <w:sz w:val="22"/>
        </w:rPr>
        <w:t>Какова особенность пьезоэлектрических датчиков при измерении быстропеременных давлений?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Пьезодатчики имеют высокую собственную частоту и подходят для измерения пульсаций.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Пьезодатчики обеспечивают более высокую точность статических измерений.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Пьезодатчики не требуют калибровки и поверки.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Пьезодатчики могут работать без источника питания.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Общие принципы измерения давления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203. </w:t>
      </w:r>
      <w:r>
        <w:rPr>
          <w:rFonts w:ascii="Times New Roman" w:hAnsi="Times New Roman"/>
          <w:sz w:val="22"/>
        </w:rPr>
        <w:t>Что такое перегрузка по давлению для датчика давления?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Максимальное рабочее давление, при котором датчик обеспечивает заданную точность.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Предельное давление, которое датчик может выдержать без необратимых изменений.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Давление, при котором датчик выдаёт аварийный сигнал на SCADA-систему.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Давление, при котором срабатывает мембрана и происходит сброс среды.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Общие принципы измерения давления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204. </w:t>
      </w:r>
      <w:r>
        <w:rPr>
          <w:rFonts w:ascii="Times New Roman" w:hAnsi="Times New Roman"/>
          <w:sz w:val="22"/>
        </w:rPr>
        <w:t>Какой протокол цифровой связи поверх 4-20 мА применяется в интеллектуальных преобразователях давления?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Протокол Modbus RTU, работающий по двухпроводной линии связи.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Протокол HART (Highway Addressable Remote Transducer).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Протокол OPC UA, работающий через шлюз преобразователей интерфейсов.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Протокол IEC 60870-5-104, работающий поверх TCP/IP.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Общие принципы автоматизации, протокол HART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205. </w:t>
      </w:r>
      <w:r>
        <w:rPr>
          <w:rFonts w:ascii="Times New Roman" w:hAnsi="Times New Roman"/>
          <w:sz w:val="22"/>
        </w:rPr>
        <w:t>Какова причина применения разделительных сосудов в импульсных линиях на паропроводах?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Для создания дополнительного демпфирования пульсаций давления.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Для предотвращения попадания горячей среды в чувствительный элемент датчика.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Для увеличения длины импульсной линии при удалённой установке датчика.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Для визуального контроля уровня конденсата в импульсной линии.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Общие принципы монтажа КИПиА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206. </w:t>
      </w:r>
      <w:r>
        <w:rPr>
          <w:rFonts w:ascii="Times New Roman" w:hAnsi="Times New Roman"/>
          <w:sz w:val="22"/>
        </w:rPr>
        <w:t>Какое действие выполняется при поверке манометра с использованием грузопоршневого манометра?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Сравнение показаний поверяемого манометра с штатным датчиком на объекте.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Пропускание измеряемой среды через импульсную линию под рабочим давлением.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Сравнение показаний поверяемого манометра с эталонным при заданных давлениях.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Проверка целостности стекла и корпуса визуальным осмотром.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ФЗ-102, статья 13; ГОСТ 8.479-82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Блок 12. Охрана труда при эксплуатации эл. установок (24 вопросов)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207. </w:t>
      </w:r>
      <w:r>
        <w:rPr>
          <w:rFonts w:ascii="Times New Roman" w:hAnsi="Times New Roman"/>
          <w:sz w:val="22"/>
        </w:rPr>
        <w:t>Согласно ПОТ ЭЭ (п. 2.3), группа I по электробезопасности присваивается: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Электротехническому персоналу, организующему монтаж и наладку электроустановок.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Неэлектротехническому персоналу, при работе которого может возникнуть опасность поражения током.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Электротехнологическому персоналу, использующему ручные электрические машины.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Оперативному персоналу, обслуживающему электроустановки напряжением до 1000 В.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2.3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208. </w:t>
      </w:r>
      <w:r>
        <w:rPr>
          <w:rFonts w:ascii="Times New Roman" w:hAnsi="Times New Roman"/>
          <w:sz w:val="22"/>
        </w:rPr>
        <w:t>Согласно ПОТ ЭЭ (п. 2.3), группу III по электробезопасности разрешается присваивать с какого возраста?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С 16 лет при наличии профессионального образования.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С 21 года после окончания высшего учебного заведения.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С 18 лет — группа III присваивается только по достижении 18 лет.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С 17 лет при прохождении стажировки на производстве.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2.3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209. </w:t>
      </w:r>
      <w:r>
        <w:rPr>
          <w:rFonts w:ascii="Times New Roman" w:hAnsi="Times New Roman"/>
          <w:sz w:val="22"/>
        </w:rPr>
        <w:t>Согласно ПТЭЭП, какую группу должен иметь ответственный за электрохозяйство в электроустановках выше 1000 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Группу III по электробезопасности.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Группу IV по электробезопасности.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Группу V по электробезопасности.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Группу II по электробезопасности.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ПТЭЭП (Приказ №811), п. 10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210. </w:t>
      </w:r>
      <w:r>
        <w:rPr>
          <w:rFonts w:ascii="Times New Roman" w:hAnsi="Times New Roman"/>
          <w:sz w:val="22"/>
        </w:rPr>
        <w:t>Согласно ПОТ ЭЭ (п. 5.4), кто имеет право выдавать наряды-допуски в электроустановках выше 1000 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Работники из числа оперативного персонала с группой III.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Работники из числа административно-технического персонала с группой IV.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Работники из числа административно-технического персонала с группой V.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Работники неэлектротехнического персонала при наличии наряда-допуска.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5.4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211. </w:t>
      </w:r>
      <w:r>
        <w:rPr>
          <w:rFonts w:ascii="Times New Roman" w:hAnsi="Times New Roman"/>
          <w:sz w:val="22"/>
        </w:rPr>
        <w:t>Согласно ПОТ ЭЭ (п. 5.1), какими организационными мероприятиями обеспечивается безопасность работ?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Оформление работ нарядом-допуском, распоряжением или перечнем работ текущей эксплуатации.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Установка заземлений, проверка отсутствия напряжения, ограждение рабочего места.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Применение электрозащитных средств, проверка изоляции, использование изолированного инструмента.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Медицинский осмотр, проверка знаний, инструктаж по охране труда.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5.1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212. </w:t>
      </w:r>
      <w:r>
        <w:rPr>
          <w:rFonts w:ascii="Times New Roman" w:hAnsi="Times New Roman"/>
          <w:sz w:val="22"/>
        </w:rPr>
        <w:t>Согласно ПОТ ЭЭ (п. 16.1), в каком порядке выполняются технические мероприятия при подготовке рабочего места?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Вывешивание плакатов, установка заземлений, проверка напряжения, отключение аппаратов.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Проверка напряжения, установка заземлений, отключение аппаратов, вывешивание плакатов.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Отключения; меры от самопроизвольного включения; запрещающие плакаты; проверка отсутствия напряжения; заземление; указательные плакаты.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Установка заземлений, отключение аппаратов, меры от ошибочного включения, проверка напряжения.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16.1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213. </w:t>
      </w:r>
      <w:r>
        <w:rPr>
          <w:rFonts w:ascii="Times New Roman" w:hAnsi="Times New Roman"/>
          <w:sz w:val="22"/>
        </w:rPr>
        <w:t>Согласно ПОТ ЭЭ (п. 5.4), кто имеет право выдавать наряды в электроустановках до 1000 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Работники из числа административно-технического персонала с группой V.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Работники из числа оперативного персонала с группой III.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Работники из числа административно-технического персонала с группой IV.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Работники из числа ремонтного персонала с группой II.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5.4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214. </w:t>
      </w:r>
      <w:r>
        <w:rPr>
          <w:rFonts w:ascii="Times New Roman" w:hAnsi="Times New Roman"/>
          <w:sz w:val="22"/>
        </w:rPr>
        <w:t>Согласно ПОТ ЭЭ (п. 2.3), кто имеет право присваивать группу I по электробезопасности?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Специалист по охране труда, имеющий группу III.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Работник из числа электротехнического персонала с группой III или специалист по ОТ с группой IV и выше.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Любой работник из числа административно-технического персонала организации.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Только должностное лицо органа Ростехнадзора.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2.3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215. </w:t>
      </w:r>
      <w:r>
        <w:rPr>
          <w:rFonts w:ascii="Times New Roman" w:hAnsi="Times New Roman"/>
          <w:sz w:val="22"/>
        </w:rPr>
        <w:t>Согласно ПОТ ЭЭ (п. 2.3), при переводе с обслуживания до 1000 В на выше 1000 В, какую начальную группу можно присвоить?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Группу IV — минимально допустимую для работы выше 1000 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Группу V — для немедленного допуска к самостоятельной работе.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Группу III — начальную группу выше III присвоить нельзя.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Группу II — с последующей проверкой знаний на рабочем месте.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2.3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216. </w:t>
      </w:r>
      <w:r>
        <w:rPr>
          <w:rFonts w:ascii="Times New Roman" w:hAnsi="Times New Roman"/>
          <w:sz w:val="22"/>
        </w:rPr>
        <w:t>Согласно ПОТ ЭЭ (п. 3.9), в диэлектрических перчатках необходимо выполнять операции по: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Проверке отсутствия напряжения указателем в электроустановках до 1000 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Отключению и включению коммутационных аппаратов и заземлителей выше 1000 В с ручным приводом.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Осмотру электроустановок напряжением до и выше 1000 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Подключению и отключению переносных приборов для измерения температуры.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3.9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217. </w:t>
      </w:r>
      <w:r>
        <w:rPr>
          <w:rFonts w:ascii="Times New Roman" w:hAnsi="Times New Roman"/>
          <w:sz w:val="22"/>
        </w:rPr>
        <w:t>Согласно ПОТ ЭЭ, выдающий наряд-допуск и допускающий относятся к: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Оба из числа электротехнического персонала, допускающий — из ремонтного.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Оба из числа административно-технического персонала, допускающий — из оперативного.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Оба из числа неэлектротехнического персонала.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Выдающий — из оперативного, допускающий — из административно-технического.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5.2, 5.4, 5.8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218. </w:t>
      </w:r>
      <w:r>
        <w:rPr>
          <w:rFonts w:ascii="Times New Roman" w:hAnsi="Times New Roman"/>
          <w:sz w:val="22"/>
        </w:rPr>
        <w:t>Согласно ПОТ ЭЭ (п. 5.7), какую группу должен иметь производитель работ в электроустановках выше 1000 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Группу III по электробезопасности.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Группу V по электробезопасности.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Группу IV по электробезопасности.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Группу II по электробезопасности.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5.7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219. </w:t>
      </w:r>
      <w:r>
        <w:rPr>
          <w:rFonts w:ascii="Times New Roman" w:hAnsi="Times New Roman"/>
          <w:sz w:val="22"/>
        </w:rPr>
        <w:t>Согласно ПОТ ЭЭ (п. 5.8), какую группу должен иметь допускающий в электроустановках выше 1000 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Группу V по электробезопасности.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Группу II по электробезопасности.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Группу III по электробезопасности.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Группу IV по электробезопасности.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5.8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220. </w:t>
      </w:r>
      <w:r>
        <w:rPr>
          <w:rFonts w:ascii="Times New Roman" w:hAnsi="Times New Roman"/>
          <w:sz w:val="22"/>
        </w:rPr>
        <w:t>Согласно ПОТ ЭЭ, какое максимальное количество членов бригады с группой II допускается?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Не более одного члена с группой II на каждого члена с группой III.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Не более трёх членов с группой II при наличии членов с группой не ниже III.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Не более двух членов с группой II независимо от общего числа.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Не ограничено при наличии производителя работ с группой IV.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5.7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221. </w:t>
      </w:r>
      <w:r>
        <w:rPr>
          <w:rFonts w:ascii="Times New Roman" w:hAnsi="Times New Roman"/>
          <w:sz w:val="22"/>
        </w:rPr>
        <w:t>Согласно ПТЭЭП, какую группу должен иметь ответственный за электрохозяйство в установках до 1000 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Группу III по электробезопасности.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Группу V по электробезопасности.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Группу II по электробезопасности.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Группу IV по электробезопасности.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ПТЭЭП (Приказ №811), п. 10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222. </w:t>
      </w:r>
      <w:r>
        <w:rPr>
          <w:rFonts w:ascii="Times New Roman" w:hAnsi="Times New Roman"/>
          <w:sz w:val="22"/>
        </w:rPr>
        <w:t>Согласно ПОТ ЭЭ (п. 19.2), кто имеет право проверять отсутствие напряжения в РУ выше 1000 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Любой работник из числа электротехнического персонала с группой III.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Два работника: один проверяет, второй контролирует.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Один работник из числа оперативного персонала с группой IV.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Работник из числа ремонтного персонала с группой V.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19.2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223. </w:t>
      </w:r>
      <w:r>
        <w:rPr>
          <w:rFonts w:ascii="Times New Roman" w:hAnsi="Times New Roman"/>
          <w:sz w:val="22"/>
        </w:rPr>
        <w:t>Согласно ПОТ ЭЭ (п. 20.3), в каких средствах выполняется установка переносных заземлений выше 1000 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В диэлектрических перчатках с применением изолирующей штанги.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В диэлектрических ботах и на изолирующей подставке.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Без дополнительных электрозащитных средств — достаточно штанги.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В экранирующем комплекте с использованием изолирующей штанги.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20.3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224. </w:t>
      </w:r>
      <w:r>
        <w:rPr>
          <w:rFonts w:ascii="Times New Roman" w:hAnsi="Times New Roman"/>
          <w:sz w:val="22"/>
        </w:rPr>
        <w:t>Согласно ПОТ ЭЭ (п. 19.1), в каком средстве необходимо пользоваться указателем напряжения выше 1000 В?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В диэлектрических ботах и на изолирующей подставке.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В экранирующем комплекте спецодежды.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Без дополнительных средств — указатель имеет достаточную изоляцию.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b/>
          <w:sz w:val="22"/>
        </w:rPr>
        <w:t>В диэлектрических перчатках.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Г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19.1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225. </w:t>
      </w:r>
      <w:r>
        <w:rPr>
          <w:rFonts w:ascii="Times New Roman" w:hAnsi="Times New Roman"/>
          <w:sz w:val="22"/>
        </w:rPr>
        <w:t>Согласно ПОТ ЭЭ (п. 16.1), какие плакаты вывешиваются на приводах при подготовке рабочего места?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Указательные плакаты Заземлено на всех приводах коммутационных аппаратов.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Предупреждающие плакаты Осторожно! Электрическое напряжение.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Запрещающие плакаты Не включать! Работают люди.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Предписывающие плакаты Работать здесь на приводах всех отключённых аппаратов.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16.1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226. </w:t>
      </w:r>
      <w:r>
        <w:rPr>
          <w:rFonts w:ascii="Times New Roman" w:hAnsi="Times New Roman"/>
          <w:sz w:val="22"/>
        </w:rPr>
        <w:t>Согласно ПОТ ЭЭ (п. 2.3), специалисты по ОТ, контролирующие электроустановки, должны иметь: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Группу III и стаж работы не менее 1 года.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Группу V и стаж работы не менее 5 лет.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b/>
          <w:sz w:val="22"/>
        </w:rPr>
        <w:t>Группу IV и производственный стаж не менее 3 лет.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Группу II и сертификат по охране труда.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В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2.3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227. </w:t>
      </w:r>
      <w:r>
        <w:rPr>
          <w:rFonts w:ascii="Times New Roman" w:hAnsi="Times New Roman"/>
          <w:sz w:val="22"/>
        </w:rPr>
        <w:t>Согласно ПОТ ЭЭ (п. 4.17), какие мероприятия выполняются при работах под наведённым напряжением?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Установка дополнительных опор для укрепления проводов линии.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Уравнивание потенциалов путём соединения проводником или установки заземлений с обеих сторон разрыва.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Отключение всех смежных линий электропередачи на время работ.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Применение экранирующих комплектов для всех членов бригады независимо от напряжения.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4.17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228. </w:t>
      </w:r>
      <w:r>
        <w:rPr>
          <w:rFonts w:ascii="Times New Roman" w:hAnsi="Times New Roman"/>
          <w:sz w:val="22"/>
        </w:rPr>
        <w:t>Согласно ПОТ ЭЭ (п. 7.10), в электроустановках до 1000 В работник с какой группой имеет право работать единолично?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b/>
          <w:sz w:val="22"/>
        </w:rPr>
        <w:t>Работник с группой III и правом быть производителем работ.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sz w:val="22"/>
        </w:rPr>
        <w:t>Работник с группой V и правом быть ответственным руководителем работ.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Работник с группой II и правом быть членом бригады.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Работник с группой IV — только по наряду-допуску.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А</w:t>
      </w:r>
      <w:r>
        <w:rPr>
          <w:rFonts w:ascii="Times New Roman" w:hAnsi="Times New Roman"/>
          <w:color w:val="505050"/>
          <w:sz w:val="20"/>
        </w:rPr>
        <w:t xml:space="preserve">  |  ПОТ ЭЭ (Приказ №903н), п. 7.10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229. </w:t>
      </w:r>
      <w:r>
        <w:rPr>
          <w:rFonts w:ascii="Times New Roman" w:hAnsi="Times New Roman"/>
          <w:sz w:val="22"/>
        </w:rPr>
        <w:t>Согласно ПТЭЭП (п. 7), потребитель должен обеспечить содержание электроустановок в: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Удовлетворительном состоянии с проведением ремонта не реже одного раза в пять лет.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Исправном состоянии и обеспечение их безопасной эксплуатации.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Соответствии проектной документации без проведения дополнительного контроля.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Соответствии требованиям энергосбытовой организации по учёту электроэнергии.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ПТЭЭП (Приказ №811), п. 7, подпункт а</w:t>
      </w:r>
    </w:p>
    <w:p>
      <w:pPr>
        <w:spacing w:after="40" w:before="120"/>
      </w:pPr>
      <w:r>
        <w:rPr>
          <w:rFonts w:ascii="Times New Roman" w:hAnsi="Times New Roman"/>
          <w:b/>
          <w:sz w:val="22"/>
        </w:rPr>
        <w:t xml:space="preserve">230. </w:t>
      </w:r>
      <w:r>
        <w:rPr>
          <w:rFonts w:ascii="Times New Roman" w:hAnsi="Times New Roman"/>
          <w:sz w:val="22"/>
        </w:rPr>
        <w:t>Согласно ПТЭЭП (п. 8), обязанности по организации эксплуатации электроустановок возлагаются на: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а) </w:t>
      </w:r>
      <w:r>
        <w:rPr>
          <w:rFonts w:ascii="Times New Roman" w:hAnsi="Times New Roman"/>
          <w:sz w:val="22"/>
        </w:rPr>
        <w:t>Любого работника организации, назначенного приказом руководителя.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б) </w:t>
      </w:r>
      <w:r>
        <w:rPr>
          <w:rFonts w:ascii="Times New Roman" w:hAnsi="Times New Roman"/>
          <w:b/>
          <w:sz w:val="22"/>
        </w:rPr>
        <w:t>Ответственного за электрохозяйство, назначенного из числа административно-технического персонала.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в) </w:t>
      </w:r>
      <w:r>
        <w:rPr>
          <w:rFonts w:ascii="Times New Roman" w:hAnsi="Times New Roman"/>
          <w:sz w:val="22"/>
        </w:rPr>
        <w:t>Специалиста по охране труда организации с группой не ниже IV.</w:t>
      </w:r>
    </w:p>
    <w:p>
      <w:pPr>
        <w:spacing w:after="0" w:before="20"/>
        <w:ind w:left="567"/>
      </w:pPr>
      <w:r>
        <w:rPr>
          <w:rFonts w:ascii="Times New Roman" w:hAnsi="Times New Roman"/>
          <w:sz w:val="22"/>
        </w:rPr>
        <w:t xml:space="preserve">г) </w:t>
      </w:r>
      <w:r>
        <w:rPr>
          <w:rFonts w:ascii="Times New Roman" w:hAnsi="Times New Roman"/>
          <w:sz w:val="22"/>
        </w:rPr>
        <w:t>Руководителя организации лично, без делегирования полномочий.</w:t>
      </w:r>
    </w:p>
    <w:p>
      <w:pPr>
        <w:spacing w:after="80"/>
        <w:ind w:left="567"/>
      </w:pPr>
      <w:r>
        <w:rPr>
          <w:rFonts w:ascii="Times New Roman" w:hAnsi="Times New Roman"/>
          <w:b/>
          <w:color w:val="006400"/>
          <w:sz w:val="20"/>
        </w:rPr>
        <w:t>Ответ: Б</w:t>
      </w:r>
      <w:r>
        <w:rPr>
          <w:rFonts w:ascii="Times New Roman" w:hAnsi="Times New Roman"/>
          <w:color w:val="505050"/>
          <w:sz w:val="20"/>
        </w:rPr>
        <w:t xml:space="preserve">  |  ПТЭЭП (Приказ №811), п. 8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12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