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307"/>
        <w:gridCol w:w="3307"/>
        <w:gridCol w:w="3307"/>
      </w:tblGrid>
      <w:tr>
        <w:tc>
          <w:tcPr>
            <w:tcW w:type="dxa" w:w="4361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ПРИНЯТО</w:t>
            </w:r>
            <w:r>
              <w:rPr>
                <w:rFonts w:ascii="Times New Roman" w:hAnsi="Times New Roman"/>
                <w:sz w:val="26"/>
              </w:rPr>
              <w:br/>
              <w:t>и рекомендовано к утверждению решением педсовета</w:t>
            </w:r>
            <w:r>
              <w:rPr>
                <w:rFonts w:ascii="Times New Roman" w:hAnsi="Times New Roman"/>
                <w:sz w:val="26"/>
              </w:rPr>
              <w:br/>
              <w:t>Протокол от __№__</w:t>
            </w:r>
          </w:p>
        </w:tc>
        <w:tc>
          <w:tcPr>
            <w:tcW w:type="dxa" w:w="918"/>
          </w:tcPr>
          <w:p>
            <w:r/>
          </w:p>
        </w:tc>
        <w:tc>
          <w:tcPr>
            <w:tcW w:type="dxa" w:w="4399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6"/>
              </w:rPr>
              <w:t>УТВЕРЖДАЮ:</w:t>
            </w:r>
            <w:r>
              <w:rPr>
                <w:rFonts w:ascii="Times New Roman" w:hAnsi="Times New Roman"/>
                <w:sz w:val="26"/>
              </w:rPr>
              <w:br/>
              <w:t>Директор ООО УЦ «ПрофСтрой»</w:t>
            </w:r>
            <w:r>
              <w:rPr>
                <w:rFonts w:ascii="Times New Roman" w:hAnsi="Times New Roman"/>
                <w:sz w:val="26"/>
              </w:rPr>
              <w:br/>
              <w:t>________________ Бастрюкова Г.А.</w:t>
            </w:r>
            <w:r>
              <w:rPr>
                <w:rFonts w:ascii="Times New Roman" w:hAnsi="Times New Roman"/>
                <w:sz w:val="26"/>
              </w:rPr>
              <w:br/>
              <w:t>Приказ от «__» _______20__ № ___</w:t>
            </w:r>
          </w:p>
        </w:tc>
      </w:tr>
      <w:tr>
        <w:tc>
          <w:tcPr>
            <w:tcW w:type="dxa" w:w="4361"/>
          </w:tcPr>
          <w:p/>
        </w:tc>
        <w:tc>
          <w:tcPr>
            <w:tcW w:type="dxa" w:w="918"/>
          </w:tcPr>
          <w:p/>
        </w:tc>
        <w:tc>
          <w:tcPr>
            <w:tcW w:type="dxa" w:w="4399"/>
          </w:tcPr>
          <w:p/>
        </w:tc>
      </w:tr>
    </w:tbl>
    <w:p/>
    <w:p/>
    <w:p/>
    <w:p>
      <w:pPr>
        <w:jc w:val="right"/>
      </w:pPr>
      <w:r>
        <w:rPr>
          <w:rFonts w:ascii="Times New Roman" w:hAnsi="Times New Roman"/>
          <w:b/>
          <w:sz w:val="28"/>
        </w:rPr>
        <w:t>Приложение 4.1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(ОП.0.0.)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/>
    <w:p>
      <w:pPr>
        <w:jc w:val="left"/>
      </w:pPr>
      <w:r>
        <w:rPr>
          <w:rFonts w:ascii="Times New Roman" w:hAnsi="Times New Roman"/>
          <w:sz w:val="28"/>
        </w:rPr>
        <w:t>1. Какой локальный документ, разрабатываемый работодателем, устанавливает требования безопасности при выполнении конкретных работ?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Инструкция по охране труда;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Договор аренды производственного помещения;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План эвакуации из здания;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График ежегодных отпусков работников.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2. Какие средства индивидуальной защиты должны применяться при работе на металлорежущих станках?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Защитные очки, спецодежда и закрытая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Солнцезащитные очки и пляжная обувь;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Строительная каска и газовый респиратор;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Беруши и хлопчатобумажные перчатки.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3. Какой огнетушитель допускается применять для тушения пожаров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Водный;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Воздушно-пенный;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Хладоновый;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Углекислотный.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4. Что необходимо выполнить перед началом работы на станке?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Включить станок без осмотра;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Осмотреть станок и проверить защитные устройства;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Сообщить мастеру о выходе на работу;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Протереть оборудование влажной тканью.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5. Какой масштаб используется для изображения детали на чертеже в натуральную величину?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1:2;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2:1;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5:1;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1:1.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6. Какой тип линии на чертеже обозначает невидимый контур детали?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Сплошная толстая;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Штриховая;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Штрихпунктирная;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Волнистая.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7. Какой вид чертежа показывает форму и размеры отдельной детали?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Сборочный;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Габаритный;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Кинематическая схема;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Рабочий чертёж детали.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Медь;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Алюминий;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Цинк;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Железо.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p>
      <w:pPr>
        <w:jc w:val="left"/>
      </w:pPr>
      <w:r>
        <w:rPr>
          <w:rFonts w:ascii="Times New Roman" w:hAnsi="Times New Roman"/>
          <w:sz w:val="28"/>
        </w:rPr>
        <w:t>9. Что такое твёрдость материала?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Способность материала выдерживать растяжение;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Способность материала сопротивляться проникновению в него другого тела;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Способность материала восстанавливать форму после деформации;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Способность материала проводить тепло.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10. Какая марка стали обозначает углеродистую конструкционную сталь обычного качества?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У8;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Ст3;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45;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Р6М5.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11. Какая механическая передача использует гибкую связь между валами для передачи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Ремённая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Зубчатая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Червячная передача;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Винтовая передача.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12. Что характеризует произведение силы на плечо?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Скорость движения;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Крутящий момент;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Массу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Температуру нагрева.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B</w:t>
      </w:r>
    </w:p>
    <w:p>
      <w:pPr>
        <w:jc w:val="left"/>
      </w:pPr>
      <w:r>
        <w:rPr>
          <w:rFonts w:ascii="Times New Roman" w:hAnsi="Times New Roman"/>
          <w:sz w:val="28"/>
        </w:rPr>
        <w:t>13. Какой тип подшипника воспринимает только осевую нагрузку и не воспринимает радиальную?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Радиальный шариковый;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Радиально-упорный;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Упорный;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Сферический.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14. Что представляет собой допуск размера по ГОСТ 25346-2013?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Разность между верхним и нижним отклонениями;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Расстояние между станками в цеху;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Номинальный размер детали;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Максимальная температура обработки.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15. Какой измерительный инструмент применяется для контроля наружных размеров с точностью 0,01 мм?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Линейка металлическая;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Штангенциркуль ШЦ-I;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Микрометр гладкий;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Угломер.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16. Какая посадка характеризуется тем, что диаметр вала превышает диаметр отверстия до сборки?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Скользящая;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Переходная;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 натягом;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Свободная.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17. Какой вид обработки относится к лезвийной обработке наружных поверхностей вращения?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Литьё;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Штамповка;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Точение;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Сварка.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18. Как называется слой материала, удаляемый с заготовки при механической обработке?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Припуск;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Допуск;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Шероховатость;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Квалитет.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A</w:t>
      </w:r>
    </w:p>
    <w:p>
      <w:pPr>
        <w:jc w:val="left"/>
      </w:pPr>
      <w:r>
        <w:rPr>
          <w:rFonts w:ascii="Times New Roman" w:hAnsi="Times New Roman"/>
          <w:sz w:val="28"/>
        </w:rPr>
        <w:t>19. Какой метод обработки обеспечивает наивысшую точность и чистоту поверхности?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Фрезерование;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Строгание;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Шлифование;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Сверление.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C</w:t>
      </w:r>
    </w:p>
    <w:p>
      <w:pPr>
        <w:jc w:val="left"/>
      </w:pPr>
      <w:r>
        <w:rPr>
          <w:rFonts w:ascii="Times New Roman" w:hAnsi="Times New Roman"/>
          <w:sz w:val="28"/>
        </w:rPr>
        <w:t>20. Какая группа по электробезопасности необходима для самостоятельных работ в электроустановках напряжением до 1000 В?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II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IV группа;</w:t>
      </w:r>
    </w:p>
    <w:p>
      <w:pPr>
        <w:pStyle w:val="ListParagraph"/>
        <w:jc w:val="both"/>
      </w:pPr>
      <w:r>
        <w:rPr>
          <w:rFonts w:ascii="Times New Roman" w:hAnsi="Times New Roman"/>
          <w:sz w:val="28"/>
        </w:rPr>
        <w:t>III группа.</w:t>
      </w:r>
    </w:p>
    <w:p>
      <w:pPr>
        <w:ind w:left="720"/>
        <w:jc w:val="both"/>
      </w:pPr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240" w:lineRule="auto"/>
      <w:ind w:left="720"/>
      <w:contextualSpacing/>
    </w:pPr>
    <w:rPr>
      <w:rFonts w:ascii="Times New Roman" w:hAnsi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