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Комплект лекций по междисциплинарному курсу «Технология наладки, испытаний и сдачи схем КИПиА»</w:t>
      </w:r>
    </w:p>
    <w:p>
      <w:pPr>
        <w:spacing w:line="360" w:lineRule="auto" w:after="120" w:before="0"/>
        <w:jc w:val="center"/>
      </w:pPr>
      <w:r>
        <w:rPr>
          <w:rFonts w:ascii="Times New Roman" w:hAnsi="Times New Roman"/>
          <w:b w:val="0"/>
          <w:sz w:val="28"/>
          <w:rFonts w:ascii="Times New Roman" w:hAnsi="Times New Roman" w:cs="Times New Roman"/>
        </w:rPr>
        <w:t>Для профессии 14919 «Наладчик контрольно-измерительных приборов и автоматики» (профессиональной подготовки на 4-5 разряды)</w:t>
      </w:r>
    </w:p>
    <w:p>
      <w:pPr>
        <w:spacing w:line="360" w:lineRule="auto"/>
      </w:pP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1. Чтение принципиальных и функциональных схем автоматизации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правила чтения и анализа принципиальных и функциональных схем автоматизации, применяемых при наладке систем КИПиА.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1.1. Функциональные схемы автоматизации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Функциональная схема автоматизации (ФСА) является основным документом, определяющим структуру системы автоматизации технологического процесса. На ФСА показаны технологическое оборудование, измеряемые параметры, приборы и средства автоматизации с указанием их функций и связей между ними. Схема выполняется в соответствии с ГОСТ 21.404-85.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 функциональной схеме каждый прибор обозначается кружком, разделённым горизонтальной чертой: в верхней части указывается номер позиции по спецификации, в нижней — тип прибора. Буквенные обозначения в верхней части кружка определяют измеряемую величину и функцию прибора согласно ГОСТ 21.404-85. Первая буква обозначает измеряемый параметр (T — температура, P — давление, F — расход, L — уровень), последующие — функции (I — показание, R — регистрация, C — регулирование, A — сигнализация).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чтении ФСА наладчик определяет состав измерительных каналов, типы применяемых датчиков и вторичных приборов, наличие регуляторов и исполнительных механизмов, а также схему связи между элементами системы. Это позволяет составить план наладочных работ и определить перечень необходимых образцовых средств измерений.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Особое внимание при анализе ФСА уделяется системам противоаварийной защиты и сигнализации, так как их отказ может привести к аварийным ситуациям. Наладчик должен понимать логику работы защитных блокировок и последовательность срабатывания сигнализации.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1.2. Принципиальные электрические схемы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Принципиальная электрическая схема определяет полный состав электрических элементов и все связи между ними. Она выполняется в соответствии с ГОСТ 2.702-2011 и является основным документом для наладки электрической части систем КИПиА. На схеме показаны все элементы цепи с условными графическими обозначениями и позиционными обозначениями.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чтении принципиальной схемы наладчик определяет назначение каждого элемента, логику работы цепей управления, защиты и сигнализации. Схемы питания показывают источники напряжения, распределительные устройства и цепи питания приборов. Схемы управления отображают логику включения и отключения исполнительных механизмов.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Для наладки вторичных цепей релейной защиты и автоматики используются развёрнутые схемы, в которых каждый прибор изображается в виде отдельных элементов, расположенных в разных цепях. Это упрощает понимание логики работы и позволяет последовательно проверять каждую цепь.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Наладчик должен уметь читать схемы, выполненные как в однолинейном, так и в многолинейном исполнении, а также схемы соединений (монтажные схемы), показывающие реальные электрические соединения между аппаратами на щитах и пультах управления.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Что такое функциональная схема автоматизации и для чего она предназначена?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Как обозначаются приборы на ФСА согласно ГОСТ 21.404-85?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Какие буквы обозначают измеряемые параметры температуры, давления и расхода?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В чём различие между принципиальной и монтажной электрическими схемами?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Почему при анализе ФСА особое внимание уделяется системам противоаварийной защиты?</w:t>
      </w:r>
    </w:p>
    <w:p>
      <w:pPr>
        <w:spacing w:line="360" w:lineRule="auto" w:before="240" w:after="12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Лекция 2. Анализ проектной документации: кабельные журналы, спецификации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Продолжительность: 2 академических часа</w:t>
      </w:r>
    </w:p>
    <w:p>
      <w:pPr>
        <w:spacing w:line="360" w:lineRule="auto" w:after="80"/>
        <w:jc w:val="left"/>
      </w:pPr>
      <w:r>
        <w:rPr>
          <w:rFonts w:ascii="Times New Roman" w:hAnsi="Times New Roman"/>
          <w:i/>
          <w:sz w:val="28"/>
          <w:rFonts w:ascii="Times New Roman" w:hAnsi="Times New Roman" w:cs="Times New Roman"/>
        </w:rPr>
        <w:t>Цель лекции: Изучить порядок анализа кабельных журналов и спецификаций оборудования, необходимых для проверки полноты и правильности монтажа систем КИПиА.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2.1. Кабельные журналы и трассы прокладки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Кабельный журнал является основным документом, определяющим марки, сечения, длины и трассы прокладки всех кабелей и проводов системы автоматизации. В журнале указываются: номер кабеля по проекту, марка и сечение, начало и конец трассы, длина кабеля, способ прокладки и тип кабельной конструкции.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анализе кабельного журнала наладчик проверяет правильность выбора марок кабелей в зависимости от условий прокладки и назначения цепей. Для цепей измерения применяются экранированные кабели, для цепей питания — силовые кабели соответствующего сечения. Разделение цепей различного назначения по разным кабелям обязательно для исключения электромагнитных помех.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Исполнительный кабельный журнал, составляемый по результатам монтажа, может отличаться от проектного: изменяются длины кабелей, способы прокладки, добавляются или исключаются кабели. Наладчик обязан сопоставить проектный и исполнительный кабельные журналы, выявить все отклонения и оценить их влияние на работу системы.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Данные кабельного журнала используются при прозвонке кабелей, проверке сопротивления изоляции и составлении протоколов испытаний. По журналу также определяется принадлежность жил кабеля к конкретным электрическим цепям, что необходимо при поиске неисправностей.</w:t>
      </w:r>
    </w:p>
    <w:p>
      <w:pPr>
        <w:spacing w:line="360" w:lineRule="auto" w:before="16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2.2. Спецификации оборудования и материалов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Спецификация оборудования и материалов является составной частью рабочей документации и содержит перечень всех приборов, средств автоматизации, кабелей, труб, фитингов и других материалов, необходимых для монтажа системы. Спецификация выполняется по ГОСТ 21.110-2013 и включает наименование, тип, марку, количество и код оборудования.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анализе спецификации наладчик проверяет соответствие оборудования проектным решениям, наличие сертификатов и паспортов на приборы, а также полноту комплектации монтажных узлов. Особое внимание обращается на соответствие диапазонов измерения датчиков проектным значениям технологических параметров.</w:t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</w:r>
      <w:r>
        <w:drawing>
          <wp:inline xmlns:a="http://schemas.openxmlformats.org/drawingml/2006/main" xmlns:pic="http://schemas.openxmlformats.org/drawingml/2006/picture">
            <wp:extent cx="5029200" cy="2978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8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40"/>
        <w:ind w:firstLine="709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При обнаружении несоответствия между спецификацией и фактически установленным оборудованием наладчик оформляет запрос проектной организации на согласование замены. Замена оборудования без согласования с проектной организацией не допускается, так как может привести к нарушению работоспособности системы.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2):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1. Какие данные содержит кабельный журнал?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2. Почему для цепей измерения применяются экранированные кабели?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3. Для чего наладчик сопоставляет проектный и исполнительный кабельные журналы?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4. Что проверяется при анализе спецификации оборудования?</w:t>
      </w:r>
    </w:p>
    <w:p>
      <w:pPr>
        <w:spacing w:line="360" w:lineRule="auto" w:after="40"/>
        <w:ind w:left="567"/>
        <w:jc w:val="both"/>
      </w:pPr>
      <w:r>
        <w:rPr>
          <w:rFonts w:ascii="Times New Roman" w:hAnsi="Times New Roman"/>
          <w:sz w:val="28"/>
          <w:rFonts w:ascii="Times New Roman" w:hAnsi="Times New Roman" w:cs="Times New Roman"/>
        </w:rPr>
        <w:t>5. Допускается ли замена оборудования без согласования с проектной организацией и почему?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схемы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Обозначение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2339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Применение при наладке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Структурная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С1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Основные функциональные части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Общее понимание системы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Функциональная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С2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Взаимодействие элементов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Анализ алгоритмов управления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Принципиальная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С3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Все элементы и связи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Поиск неисправностей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Монтажная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С4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Расположение и подключение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Проверка монтажа</w:t>
            </w:r>
          </w:p>
        </w:tc>
      </w:tr>
      <w:tr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Соединений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С5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Внешние подключения</w:t>
            </w:r>
          </w:p>
        </w:tc>
        <w:tc>
          <w:tcPr>
            <w:tcW w:type="dxa" w:w="2339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Проверка проводок</w:t>
            </w:r>
          </w:p>
        </w:tc>
      </w:tr>
      <w:tr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Подключений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С6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Подключение к внешним цепям</w:t>
            </w:r>
          </w:p>
        </w:tc>
        <w:tc>
          <w:tcPr>
            <w:tcW w:type="dxa" w:w="2339"/>
          </w:tcPr>
          <w:p>
            <w:pPr>
              <w:jc w:val="left"/>
            </w:pPr>
            <w:r/>
            <w:r>
              <w:rPr>
                <w:sz w:val="18"/>
              </w:rPr>
              <w:t>Подключение КИПиА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Элемент документации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Что проверяет наладчик</w:t>
            </w:r>
          </w:p>
        </w:tc>
        <w:tc>
          <w:tcPr>
            <w:tcW w:type="dxa" w:w="3118"/>
            <w:shd w:fill="4472C4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Критерий соответствия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Маркировка приборов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Тип, заводской номер, диапазон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Совпадение со спецификацией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Сечения проводов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Соответствие токовой нагрузке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По ПУЭ и проекту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Типы импульсных линий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Материал, диаметр, давление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 проекту и ГОСТ</w:t>
            </w:r>
          </w:p>
        </w:tc>
      </w:tr>
      <w:tr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Типы датчиков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Диапазон, класс точности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sz w:val="18"/>
              </w:rPr>
              <w:t>По спецификации</w:t>
            </w:r>
          </w:p>
        </w:tc>
      </w:tr>
      <w:tr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Системы блокировок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Наличие и логика срабатывания</w:t>
            </w:r>
          </w:p>
        </w:tc>
        <w:tc>
          <w:tcPr>
            <w:tcW w:type="dxa" w:w="3118"/>
            <w:shd w:fill="D9E2F3" w:val="clear"/>
          </w:tcPr>
          <w:p>
            <w:pPr>
              <w:jc w:val="left"/>
            </w:pPr>
            <w:r/>
            <w:r>
              <w:rPr>
                <w:sz w:val="18"/>
              </w:rPr>
              <w:t>По функциональной схеме</w:t>
            </w:r>
          </w:p>
        </w:tc>
      </w:tr>
    </w:tbl>
    <w:p>
      <w:pPr>
        <w:jc w:val="center"/>
      </w:pPr>
    </w:p>
    <w:p>
      <w:pPr>
        <w:jc w:val="center"/>
      </w:pPr>
      <w:r>
        <w:rPr>
          <w:i/>
        </w:rPr>
        <w:t xml:space="preserve">Рисунок 1. Частота использования типов документации при наладке КИПиА</w:t>
      </w:r>
    </w:p>
    <w:p>
      <w:pPr>
        <w:spacing w:line="360" w:lineRule="auto" w:before="240" w:after="80"/>
        <w:jc w:val="left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Вопросы для повторения (Лекция 1):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8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