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Фонд оценочных средств промежуточной аттестации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по общепрофессиональному циклу (ОП.0.0)</w:t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по профессии «Наладчик контрольно-измерительных приборов и автоматики»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left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  <w:t>Приложение 4.2 к основной программе ПО (КПК) по профессии «Наладчик контрольно-измерительных приборов и автоматики»</w:t>
            </w:r>
          </w:p>
        </w:tc>
        <w:tc>
          <w:tcPr>
            <w:tcW w:type="dxa" w:w="3230"/>
          </w:tcPr>
          <w:p>
            <w:pPr>
              <w:jc w:val="left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3230"/>
          </w:tcPr>
          <w:p>
            <w:pPr>
              <w:jc w:val="left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0"/>
              </w:rPr>
            </w:r>
          </w:p>
        </w:tc>
      </w:tr>
    </w:tbl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Согласно ГОСТ 8.009-84, какие составляющие входят в модель погрешности средства измерений?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Только систематическая и случайная   б) Основная, дополнительная, динамическая и погрешность взаимодействия   в) Только абсолютная и относительная   г) Аддитивная и мультипликативная только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неопределённость измерения типа Б по ГОСТ Р 54500.3?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Неопределённость, оцениваемая на основе априорной информации (справочные данные, паспорт прибора)   б) Неопределённость, оцениваемая методом наименьших квадратов   в) Неопределённость, оцениваемая по результатам многократных наблюдений   г) Неопределённость, связанная только с температурными влияниями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обеспечивает прослеживаемость измерений?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Наличие сертификата ISO 9001   б) Непрерывная цепь калибровок и поверок, связывающая средство измерений с государственным эталоном   в) Регулярное техническое обслуживание приборов   г) Применение импортных приборов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метод поверки средств измерений предполагает непосредственное сличение поверяемого СИ с эталонным?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Метод независимой поверки   б) Метод прямых измерений   в) Метод косвенных измерений   г) Метод компарирования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язык программирования ПЛК по стандарту IEC 61131-3 является текстовым и предназначен для описания последовательных операций?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FBD (Function Block Diagram)   б) SFC (Sequential Function Chart)   в) LD (Ladder Diagram)   г) ST (Structured Text)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язык программирования ПЛК по IEC 61131-3 представляет программу в виде графических ступеней с контактами и обмотками?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IL (Instruction List)   б) FBD (Function Block Diagram)   в) LD (Ladder Diagram)   г) ST (Structured Text)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Протокол HART команда №0 используется для: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Калибровки нуля датчика   б) Перезагрузки прибора   в) Изменения адреса прибора   г) Чтения идентификационной информации и основных параметров прибора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протокол промышленной связи обеспечивает детерминированный обмен данными и основан на стандарте IEC 61158?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USB   б) Wi-Fi IEEE 802.11   в) Profibus/Profinet   г) Ethernet IEEE 802.3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резервированная архитектура ПЛК с горячим резервом (Hot Standby)?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Дублирование блока питания контроллера   б) Наличие запасных модулей на складе   в) Резервирование сетевого кабеля   г) Наличие двух независимых контроллеров, основной и резервный, с автоматическим переключением при отказе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Маркировка взрывозащиты «Ex ia IIC T6» означает: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Взрывонепроницаемая оболочка для группы IIB   б) Искробезопасная цепь уровня «ia», для группы взрывоопасных смесей IIC, температура поверхности до 85 °C   в) Защита вида «е» для угольной пыли   г) Специальный вид защиты для подземных выработок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11.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определяет уровень SIL (Safety Integrity Level)?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Класс точности измерительного канала   б) Уровень полноты безопасности — вероятность отказа системы, выполняющей функцию безопасности   в) Степень защиты корпуса IP   г) Категорию взрывозащиты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12.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Директива ATEX 2014/34/EU регламентирует: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Порядок метрологического обеспечения   б) Требования к программированию ПЛК   в) Требования к оборудованию и защитным системам для применения во взрывоопасных средах   г) Порядок аттестации персонала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13.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такое OPC UA в архитектуре SCADA-систем?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Протокол передачи файлов   б) Спецификация для графических интерфейсов   в) Аналоговая измерительная шина   г) Унифицированная платформонезависимая архитектура для обмена данными в промышленной автоматизации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14.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Для чего предназначен исторический сервер (Historian) в SCADA-системе?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Для визуализации текущих параметров   б) Для управления доступом операторов   в) Для резервного копирования конфигурации ПЛК   г) Для долговременного архивирования ретроспективных данных технологического процесса с высокой скоростью записи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15.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метод обеспечения отказоустойчивости сервера SCADA предполагает использование двух серверов в активном и пассивном режиме?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Clustering с балансировкой нагрузки   б) Load Balancing   в) Виртуализация   г) Failover (горячее резервирование серверов)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16.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В чём заключается отличие протоколов Modbus RTU и Modbus TCP?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Отличий в протоколе нет, только разные физические порты   б) Modbus TCP поддерживает только чтение данных   в) Modbus RTU работает по последовательному интерфейсу (RS-485/RS-232), Modbus TCP — по сети Ethernet с инкапсуляцией кадров Modbus в TCP/IP   г) Modbus RTU использует Ethernet, Modbus TCP — RS-485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17.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параметр является основным критерием при выборе сечения кабеля для подключения датчика с выходом 4–20 мА?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Сопротивление жил кабеля, обеспечивающее допустимое падение напряжения в цепи   б) Только экранирование   в) Только теплостойкость изоляции   г) Только механическая прочность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18.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Что означает аббревиатура «НМЦ» в области метрологии?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Научно-методический центр   б) Нормируемая метрологическая характеристика   в) Национальный метрологический центр   г) Нормативно-методическая цепь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19.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вид поверки проводится при выпуске средства измерений из производства?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Первичная поверка   б) Внеочередная поверка   в) Инспекционная поверка   г) Периодическая поверка</w:t>
      </w:r>
    </w:p>
    <w:p>
      <w:pPr>
        <w:jc w:val="both"/>
        <w:spacing w:before="6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 xml:space="preserve">20. </w:t>
      </w: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Какой стандарт определяет общие требования к компетентности испытательных и калибровочных лабораторий?</w:t>
      </w:r>
    </w:p>
    <w:p>
      <w:pPr>
        <w:jc w:val="both"/>
        <w:spacing w:before="0" w:after="60" w:line="240"/>
        <w:ind w:left="708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а) ГОСТ ISO/IEC 17025   б) ГОСТ 8.009   в) ГОСТ Р 8.568   г) ГОСТ Р МЭК 61508</w:t>
      </w:r>
    </w:p>
    <w:p>
      <w:pPr>
        <w:jc w:val="left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</w:r>
    </w:p>
    <w:p>
      <w:pPr>
        <w:jc w:val="center"/>
        <w:spacing w:before="0" w:after="0" w:line="240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Ключ ответов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44"/>
        <w:gridCol w:w="4844"/>
      </w:tblGrid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№ вопроса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sz w:val="24"/>
              </w:rPr>
              <w:t>Правильный ответ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б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б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б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б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б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13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14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г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в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17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б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19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</w:t>
            </w:r>
          </w:p>
        </w:tc>
      </w:tr>
      <w:tr>
        <w:tc>
          <w:tcPr>
            <w:tcW w:type="dxa" w:w="2268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4535"/>
          </w:tcPr>
          <w:p>
            <w:pPr>
              <w:jc w:val="center"/>
              <w:spacing w:before="0" w:after="0" w:line="240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sz w:val="24"/>
              </w:rPr>
              <w:t>а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