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commentRangeStart w:id="0"/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9309A1" w:rsidRPr="00583444">
        <w:rPr>
          <w:rStyle w:val="ae"/>
        </w:rPr>
        <w:commentReference w:id="0"/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0A9E903A" w14:textId="5EFC0B57" w:rsidR="00696967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10167" w:history="1">
            <w:r w:rsidR="00696967" w:rsidRPr="00F14D6D">
              <w:rPr>
                <w:rStyle w:val="a6"/>
                <w:noProof/>
              </w:rPr>
              <w:t>Введение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00FACE8" w14:textId="532653D2" w:rsidR="00696967" w:rsidRDefault="00B851B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8" w:history="1">
            <w:r w:rsidR="00696967" w:rsidRPr="00F14D6D">
              <w:rPr>
                <w:rStyle w:val="a6"/>
                <w:noProof/>
              </w:rPr>
              <w:t>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Разбор метрических методов классификации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468FDB8" w14:textId="3F5BFEEF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9" w:history="1">
            <w:r w:rsidR="00696967" w:rsidRPr="00F14D6D">
              <w:rPr>
                <w:rStyle w:val="a6"/>
                <w:noProof/>
              </w:rPr>
              <w:t>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Постановка задачи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ADA79F2" w14:textId="47762824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0" w:history="1">
            <w:r w:rsidR="00696967" w:rsidRPr="00F14D6D">
              <w:rPr>
                <w:rStyle w:val="a6"/>
                <w:noProof/>
              </w:rPr>
              <w:t>1.2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Метрики оценки качества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2A853B5E" w14:textId="5BED7CAF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1" w:history="1">
            <w:r w:rsidR="00696967" w:rsidRPr="00F14D6D">
              <w:rPr>
                <w:rStyle w:val="a6"/>
                <w:noProof/>
              </w:rPr>
              <w:t>1.2.1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  <w:lang w:val="en-US"/>
              </w:rPr>
              <w:t xml:space="preserve">Precision </w:t>
            </w:r>
            <w:r w:rsidR="00696967" w:rsidRPr="00F14D6D">
              <w:rPr>
                <w:rStyle w:val="a6"/>
                <w:noProof/>
              </w:rPr>
              <w:t xml:space="preserve">и </w:t>
            </w:r>
            <w:r w:rsidR="00696967" w:rsidRPr="00F14D6D">
              <w:rPr>
                <w:rStyle w:val="a6"/>
                <w:noProof/>
                <w:lang w:val="en-US"/>
              </w:rPr>
              <w:t>recall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4341C4" w14:textId="47F6A78D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2" w:history="1">
            <w:r w:rsidR="00696967" w:rsidRPr="00F14D6D">
              <w:rPr>
                <w:rStyle w:val="a6"/>
                <w:noProof/>
              </w:rPr>
              <w:t>1.2.2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33ED405" w14:textId="21933296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3" w:history="1">
            <w:r w:rsidR="00696967" w:rsidRPr="00F14D6D">
              <w:rPr>
                <w:rStyle w:val="a6"/>
                <w:noProof/>
              </w:rPr>
              <w:t>1.2.3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C58992A" w14:textId="72541143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4" w:history="1">
            <w:r w:rsidR="00696967" w:rsidRPr="00F14D6D">
              <w:rPr>
                <w:rStyle w:val="a6"/>
                <w:noProof/>
              </w:rPr>
              <w:t>1.3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DF88F77" w14:textId="4A440FF9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5" w:history="1">
            <w:r w:rsidR="00696967" w:rsidRPr="00F14D6D">
              <w:rPr>
                <w:rStyle w:val="a6"/>
                <w:noProof/>
              </w:rPr>
              <w:t>1.4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ближайшего соседа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3A48C58" w14:textId="282855B6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6" w:history="1">
            <w:r w:rsidR="00696967" w:rsidRPr="00F14D6D">
              <w:rPr>
                <w:rStyle w:val="a6"/>
                <w:noProof/>
              </w:rPr>
              <w:t>1.4.1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A8C3B7" w14:textId="6C6F5DF7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7" w:history="1">
            <w:r w:rsidR="00696967" w:rsidRPr="00F14D6D">
              <w:rPr>
                <w:rStyle w:val="a6"/>
                <w:noProof/>
              </w:rPr>
              <w:t>1.4.2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76922B8" w14:textId="14F56105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8" w:history="1">
            <w:r w:rsidR="00696967" w:rsidRPr="00F14D6D">
              <w:rPr>
                <w:rStyle w:val="a6"/>
                <w:noProof/>
              </w:rPr>
              <w:t>1.4.3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7659B26" w14:textId="27E909DF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9" w:history="1">
            <w:r w:rsidR="00696967" w:rsidRPr="00F14D6D">
              <w:rPr>
                <w:rStyle w:val="a6"/>
                <w:noProof/>
              </w:rPr>
              <w:t>1.5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FDE462" w14:textId="34E76757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0" w:history="1">
            <w:r w:rsidR="00696967" w:rsidRPr="00F14D6D">
              <w:rPr>
                <w:rStyle w:val="a6"/>
                <w:noProof/>
              </w:rPr>
              <w:t>1.5.1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2F6CCD" w14:textId="1BA750C8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1" w:history="1">
            <w:r w:rsidR="00696967" w:rsidRPr="00F14D6D">
              <w:rPr>
                <w:rStyle w:val="a6"/>
                <w:noProof/>
              </w:rPr>
              <w:t>1.5.2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6DCF35" w14:textId="16861CDA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2" w:history="1">
            <w:r w:rsidR="00696967" w:rsidRPr="00F14D6D">
              <w:rPr>
                <w:rStyle w:val="a6"/>
                <w:noProof/>
              </w:rPr>
              <w:t>1.5.3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B3232E" w14:textId="1703049C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3" w:history="1">
            <w:r w:rsidR="00696967" w:rsidRPr="00F14D6D">
              <w:rPr>
                <w:rStyle w:val="a6"/>
                <w:noProof/>
              </w:rPr>
              <w:t>1.6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взвешенных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599061" w14:textId="6BAA1104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4" w:history="1">
            <w:r w:rsidR="00696967" w:rsidRPr="00F14D6D">
              <w:rPr>
                <w:rStyle w:val="a6"/>
                <w:noProof/>
              </w:rPr>
              <w:t>1.6.1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048599" w14:textId="1C920B5F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5" w:history="1">
            <w:r w:rsidR="00696967" w:rsidRPr="00F14D6D">
              <w:rPr>
                <w:rStyle w:val="a6"/>
                <w:noProof/>
              </w:rPr>
              <w:t>1.6.2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15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1860670" w14:textId="06828BE5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6" w:history="1">
            <w:r w:rsidR="00696967" w:rsidRPr="00F14D6D">
              <w:rPr>
                <w:rStyle w:val="a6"/>
                <w:noProof/>
              </w:rPr>
              <w:t>1.6.3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B1D7F2" w14:textId="00848EE4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7" w:history="1">
            <w:r w:rsidR="00696967" w:rsidRPr="00F14D6D">
              <w:rPr>
                <w:rStyle w:val="a6"/>
                <w:noProof/>
              </w:rPr>
              <w:t>1.7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фиксированной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B62FE9" w14:textId="0AD64B6D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8" w:history="1">
            <w:r w:rsidR="00696967" w:rsidRPr="00F14D6D">
              <w:rPr>
                <w:rStyle w:val="a6"/>
                <w:noProof/>
              </w:rPr>
              <w:t>1.7.1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58E50C" w14:textId="69AC0DA1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9" w:history="1">
            <w:r w:rsidR="00696967" w:rsidRPr="00F14D6D">
              <w:rPr>
                <w:rStyle w:val="a6"/>
                <w:noProof/>
              </w:rPr>
              <w:t>1.7.2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57CA4F" w14:textId="6113F2B6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0" w:history="1">
            <w:r w:rsidR="00696967" w:rsidRPr="00F14D6D">
              <w:rPr>
                <w:rStyle w:val="a6"/>
                <w:noProof/>
              </w:rPr>
              <w:t>1.7.3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5F92771" w14:textId="1FF37A92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1" w:history="1">
            <w:r w:rsidR="00696967" w:rsidRPr="00F14D6D">
              <w:rPr>
                <w:rStyle w:val="a6"/>
                <w:noProof/>
              </w:rPr>
              <w:t>1.8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26B05B8" w14:textId="6CFCDDE5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2" w:history="1">
            <w:r w:rsidR="00696967" w:rsidRPr="00F14D6D">
              <w:rPr>
                <w:rStyle w:val="a6"/>
                <w:noProof/>
              </w:rPr>
              <w:t>1.8.1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C764CC" w14:textId="161050C0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3" w:history="1">
            <w:r w:rsidR="00696967" w:rsidRPr="00F14D6D">
              <w:rPr>
                <w:rStyle w:val="a6"/>
                <w:noProof/>
              </w:rPr>
              <w:t>1.8.2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272B0D1" w14:textId="787FA8FB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4" w:history="1">
            <w:r w:rsidR="00696967" w:rsidRPr="00F14D6D">
              <w:rPr>
                <w:rStyle w:val="a6"/>
                <w:noProof/>
              </w:rPr>
              <w:t>1.8.3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F5F912" w14:textId="17A78B61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5" w:history="1">
            <w:r w:rsidR="00696967" w:rsidRPr="00F14D6D">
              <w:rPr>
                <w:rStyle w:val="a6"/>
                <w:noProof/>
              </w:rPr>
              <w:t>1.9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потенциальных функций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B611BC0" w14:textId="50636556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6" w:history="1">
            <w:r w:rsidR="00696967" w:rsidRPr="00F14D6D">
              <w:rPr>
                <w:rStyle w:val="a6"/>
                <w:noProof/>
              </w:rPr>
              <w:t>1.9.1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728A63" w14:textId="3E5A571D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7" w:history="1">
            <w:r w:rsidR="00696967" w:rsidRPr="00F14D6D">
              <w:rPr>
                <w:rStyle w:val="a6"/>
                <w:noProof/>
              </w:rPr>
              <w:t>1.9.2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033D8B2" w14:textId="5C42D5F4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8" w:history="1">
            <w:r w:rsidR="00696967" w:rsidRPr="00F14D6D">
              <w:rPr>
                <w:rStyle w:val="a6"/>
                <w:noProof/>
              </w:rPr>
              <w:t>1.9.3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00D119C" w14:textId="64FCCDED" w:rsidR="00696967" w:rsidRDefault="00B851B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9" w:history="1">
            <w:r w:rsidR="00696967" w:rsidRPr="00F14D6D">
              <w:rPr>
                <w:rStyle w:val="a6"/>
                <w:noProof/>
              </w:rPr>
              <w:t>1.10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0696B8E" w14:textId="43593A9D" w:rsidR="00696967" w:rsidRDefault="00B851B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0" w:history="1">
            <w:r w:rsidR="00696967" w:rsidRPr="00F14D6D">
              <w:rPr>
                <w:rStyle w:val="a6"/>
                <w:noProof/>
              </w:rPr>
              <w:t>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второго 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501746" w14:textId="77CDE231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1" w:history="1">
            <w:r w:rsidR="00696967" w:rsidRPr="00F14D6D">
              <w:rPr>
                <w:rStyle w:val="a6"/>
                <w:noProof/>
              </w:rPr>
              <w:t>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подраздела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699DFD3" w14:textId="4D5DF0CA" w:rsidR="00696967" w:rsidRDefault="00B851B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2" w:history="1">
            <w:r w:rsidR="00696967" w:rsidRPr="00F14D6D">
              <w:rPr>
                <w:rStyle w:val="a6"/>
                <w:noProof/>
              </w:rPr>
              <w:t>2.1.1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пункта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2C842E" w14:textId="3EC2C54B" w:rsidR="00696967" w:rsidRDefault="00B851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3" w:history="1">
            <w:r w:rsidR="00696967" w:rsidRPr="00F14D6D">
              <w:rPr>
                <w:rStyle w:val="a6"/>
                <w:noProof/>
              </w:rPr>
              <w:t>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D7D372" w14:textId="0C6CC560" w:rsidR="00696967" w:rsidRDefault="00B851B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4" w:history="1">
            <w:r w:rsidR="00696967" w:rsidRPr="00F14D6D">
              <w:rPr>
                <w:rStyle w:val="a6"/>
                <w:noProof/>
              </w:rPr>
              <w:t>Заключение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8D78420" w14:textId="392FA5AB" w:rsidR="00696967" w:rsidRDefault="00B851B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5" w:history="1">
            <w:r w:rsidR="00696967" w:rsidRPr="00F14D6D">
              <w:rPr>
                <w:rStyle w:val="a6"/>
                <w:noProof/>
              </w:rPr>
              <w:t>Библиографический</w:t>
            </w:r>
            <w:r w:rsidR="00696967" w:rsidRPr="00F14D6D">
              <w:rPr>
                <w:rStyle w:val="a6"/>
                <w:noProof/>
                <w:lang w:val="en-US"/>
              </w:rPr>
              <w:t xml:space="preserve"> </w:t>
            </w:r>
            <w:r w:rsidR="00696967" w:rsidRPr="00F14D6D">
              <w:rPr>
                <w:rStyle w:val="a6"/>
                <w:noProof/>
              </w:rPr>
              <w:t>список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EF46C95" w14:textId="4B0886AD" w:rsidR="00696967" w:rsidRDefault="00B851B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6" w:history="1">
            <w:r w:rsidR="00696967" w:rsidRPr="00F14D6D">
              <w:rPr>
                <w:rStyle w:val="a6"/>
                <w:noProof/>
              </w:rPr>
              <w:t>Приложения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1F6695F" w14:textId="51F458BC" w:rsidR="00696967" w:rsidRDefault="00B851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7" w:history="1">
            <w:r w:rsidR="00696967" w:rsidRPr="00F14D6D">
              <w:rPr>
                <w:rStyle w:val="a6"/>
                <w:noProof/>
              </w:rPr>
              <w:t>Приложение А. Листинг программы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53521CD" w14:textId="6DB304A9" w:rsidR="00696967" w:rsidRDefault="00B851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8" w:history="1">
            <w:r w:rsidR="00696967" w:rsidRPr="00F14D6D">
              <w:rPr>
                <w:rStyle w:val="a6"/>
                <w:noProof/>
              </w:rPr>
              <w:t>Приложение Б. Перечень сокращений и обозначений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30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136710167"/>
      <w:r>
        <w:lastRenderedPageBreak/>
        <w:t>Введение</w:t>
      </w:r>
      <w:bookmarkEnd w:id="1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c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c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c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c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c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2" w:name="_Toc136710168"/>
      <w:r>
        <w:lastRenderedPageBreak/>
        <w:t>Разбор метрических методов классификации</w:t>
      </w:r>
      <w:bookmarkEnd w:id="2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3" w:name="_Toc136710169"/>
      <w:r>
        <w:t>Постановка задачи</w:t>
      </w:r>
      <w:bookmarkEnd w:id="3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4" w:name="_Toc136710170"/>
      <w:r>
        <w:t>Метрики оценки качества</w:t>
      </w:r>
      <w:bookmarkEnd w:id="4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d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d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d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5" w:name="_Toc136710171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B851B9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B851B9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36710172"/>
    <w:p w14:paraId="0EE5ABE7" w14:textId="30E9E08B" w:rsidR="0090459C" w:rsidRDefault="00B851B9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B851B9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36710173"/>
    <w:p w14:paraId="301EC73D" w14:textId="77777777" w:rsidR="00715168" w:rsidRDefault="00B851B9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36710174"/>
      <w:r>
        <w:t>Вычислительная сложность рассматриваемых алгоритмов</w:t>
      </w:r>
      <w:bookmarkEnd w:id="8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9" w:name="_Toc136710175"/>
      <w:r w:rsidRPr="0085574C">
        <w:lastRenderedPageBreak/>
        <w:t>Метод ближайшего соседа</w:t>
      </w:r>
      <w:bookmarkEnd w:id="9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36710176"/>
      <w:r>
        <w:rPr>
          <w:szCs w:val="28"/>
        </w:rPr>
        <w:t>Формулировка</w:t>
      </w:r>
      <w:bookmarkEnd w:id="10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36710177"/>
      <w:r>
        <w:rPr>
          <w:szCs w:val="28"/>
        </w:rPr>
        <w:t>Достоинства и недостатки</w:t>
      </w:r>
      <w:bookmarkEnd w:id="11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2" w:name="_Toc136710178"/>
      <w:r>
        <w:t>Алгоритм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3" w:name="_Toc136710179"/>
      <w:r w:rsidRPr="005F37E6">
        <w:t>Метод k ближайших соседей</w:t>
      </w:r>
      <w:bookmarkEnd w:id="13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4" w:name="_Toc136710180"/>
      <w:r>
        <w:rPr>
          <w:szCs w:val="28"/>
        </w:rPr>
        <w:t>Формулировка</w:t>
      </w:r>
      <w:bookmarkEnd w:id="14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5" w:name="_Toc136710181"/>
      <w:r>
        <w:t>Алгоритм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6" w:name="_Toc136710182"/>
      <w:r>
        <w:rPr>
          <w:szCs w:val="28"/>
        </w:rPr>
        <w:t>Достоинства и недостатки</w:t>
      </w:r>
      <w:bookmarkEnd w:id="16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7" w:name="_Toc136710183"/>
      <w:r w:rsidRPr="005F37E6">
        <w:lastRenderedPageBreak/>
        <w:t>Метод взвешенных k ближайших соседей</w:t>
      </w:r>
      <w:bookmarkEnd w:id="17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8" w:name="_Toc136710184"/>
      <w:r>
        <w:rPr>
          <w:szCs w:val="28"/>
        </w:rPr>
        <w:t>Формулировка</w:t>
      </w:r>
      <w:bookmarkEnd w:id="18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9" w:name="_Toc136710185"/>
      <w:r>
        <w:t>Алгоритм</w:t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20" w:name="_Toc136710186"/>
      <w:r>
        <w:rPr>
          <w:szCs w:val="28"/>
        </w:rPr>
        <w:t>Достоинства и недостатки</w:t>
      </w:r>
      <w:bookmarkEnd w:id="20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1" w:name="_Toc136710187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1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2" w:name="_Toc136710188"/>
      <w:r>
        <w:rPr>
          <w:szCs w:val="28"/>
        </w:rPr>
        <w:t>Формулировка</w:t>
      </w:r>
      <w:bookmarkEnd w:id="22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3" w:name="_Toc136710189"/>
      <w:r>
        <w:t>Алгоритм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4" w:name="_Toc136710190"/>
      <w:r>
        <w:lastRenderedPageBreak/>
        <w:t>Преимущества и недостатки</w:t>
      </w:r>
      <w:bookmarkEnd w:id="24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5" w:name="_Toc136710191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5"/>
      <w:proofErr w:type="spellEnd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6" w:name="_Toc136710192"/>
      <w:r>
        <w:rPr>
          <w:szCs w:val="28"/>
        </w:rPr>
        <w:t>Формулировка</w:t>
      </w:r>
      <w:bookmarkEnd w:id="26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7" w:name="_Toc136710193"/>
      <w:r>
        <w:t>Алгоритм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E14E5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EF1C3C7" w14:textId="77777777" w:rsidR="00BA76E9" w:rsidRPr="00E14E5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E14E5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4E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8" w:name="_Toc136710194"/>
      <w:r>
        <w:lastRenderedPageBreak/>
        <w:t>Преимущества и недостатки</w:t>
      </w:r>
      <w:bookmarkEnd w:id="28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9" w:name="_Toc136710195"/>
      <w:r>
        <w:t>Метод потенциальных функций</w:t>
      </w:r>
      <w:bookmarkEnd w:id="29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30" w:name="_Toc136710196"/>
      <w:r>
        <w:rPr>
          <w:szCs w:val="28"/>
        </w:rPr>
        <w:t>Формулировка</w:t>
      </w:r>
      <w:bookmarkEnd w:id="30"/>
    </w:p>
    <w:p w14:paraId="2492632D" w14:textId="711EBE56" w:rsidR="004E3B8F" w:rsidRPr="00961232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1" w:name="_Toc136710197"/>
      <w:r>
        <w:t>Алгоритм</w:t>
      </w:r>
      <w:bookmarkEnd w:id="31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2" w:name="_Toc136710198"/>
      <w:r>
        <w:t>Преимущества и недостатки</w:t>
      </w:r>
      <w:bookmarkEnd w:id="32"/>
    </w:p>
    <w:p w14:paraId="4837AF3B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d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d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d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>
      <w:pPr>
        <w:pStyle w:val="afd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3" w:name="_Toc136710199"/>
      <w:r w:rsidR="00F258E1">
        <w:t>Выводы по разделу</w:t>
      </w:r>
      <w:bookmarkEnd w:id="33"/>
    </w:p>
    <w:p w14:paraId="4AE61265" w14:textId="390D0A9F" w:rsidR="001D7B24" w:rsidRPr="001D7B24" w:rsidRDefault="001D7B24" w:rsidP="001D7B24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r>
        <w:lastRenderedPageBreak/>
        <w:t>Применение алгоритмов на практике</w:t>
      </w:r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r w:rsidRPr="00DF5A6E">
        <w:t xml:space="preserve">Bank Customer </w:t>
      </w:r>
      <w:proofErr w:type="spellStart"/>
      <w:r w:rsidRPr="00DF5A6E">
        <w:t>Churn</w:t>
      </w:r>
      <w:proofErr w:type="spellEnd"/>
      <w:r w:rsidRPr="00DF5A6E">
        <w:t xml:space="preserve"> </w:t>
      </w:r>
      <w:proofErr w:type="spellStart"/>
      <w:r w:rsidRPr="00DF5A6E">
        <w:t>Dataset</w:t>
      </w:r>
      <w:proofErr w:type="spellEnd"/>
      <w:r w:rsidRPr="004778E6">
        <w:rPr>
          <w:vertAlign w:val="superscript"/>
        </w:rPr>
        <w:footnoteReference w:id="1"/>
      </w:r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6DB16476" w:rsidR="00041AEF" w:rsidRDefault="00DF5A6E" w:rsidP="00041AEF">
      <w:pPr>
        <w:pStyle w:val="3"/>
        <w:ind w:left="0" w:firstLine="567"/>
      </w:pPr>
      <w:r>
        <w:t>Обзор</w:t>
      </w:r>
      <w:r w:rsidR="00D037B6">
        <w:t xml:space="preserve"> и анализ</w:t>
      </w:r>
      <w:r>
        <w:t xml:space="preserve"> </w:t>
      </w:r>
      <w:proofErr w:type="spellStart"/>
      <w:r>
        <w:t>датасета</w:t>
      </w:r>
      <w:proofErr w:type="spellEnd"/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0ED1F35D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tenure</w:t>
      </w:r>
      <w:proofErr w:type="spellEnd"/>
      <w:proofErr w:type="gram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7D02435B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У этого клиента есть кредитная карта?</w:t>
      </w:r>
    </w:p>
    <w:p w14:paraId="62220B4D" w14:textId="26FC8D05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Является ли он/она активным членом банка?</w:t>
      </w:r>
    </w:p>
    <w:p w14:paraId="48EA9BF9" w14:textId="2F976AF5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Заработная плата владельца счета</w:t>
      </w:r>
    </w:p>
    <w:p w14:paraId="78953F1F" w14:textId="1D6F504C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нет.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816B5B1" w:rsidR="00D037B6" w:rsidRPr="00D037B6" w:rsidRDefault="00D037B6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искусственно сгенерированными данными.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proofErr w:type="spellStart"/>
      <w:r w:rsidRPr="00E26BE8">
        <w:rPr>
          <w:rFonts w:ascii="Times New Roman" w:hAnsi="Times New Roman" w:cs="Times New Roman"/>
          <w:sz w:val="28"/>
          <w:szCs w:val="24"/>
        </w:rPr>
        <w:t>credit_score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неаномальных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5822DA91" w14:textId="7F392AA8" w:rsidR="00E26BE8" w:rsidRDefault="00E26BE8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 xml:space="preserve">не показала значимого </w:t>
      </w:r>
      <w:proofErr w:type="spellStart"/>
      <w:r w:rsidR="00E14E58">
        <w:rPr>
          <w:rFonts w:ascii="Times New Roman" w:hAnsi="Times New Roman" w:cs="Times New Roman"/>
          <w:sz w:val="28"/>
          <w:szCs w:val="24"/>
        </w:rPr>
        <w:t>коррелирования</w:t>
      </w:r>
      <w:proofErr w:type="spellEnd"/>
      <w:r w:rsidR="00E14E58">
        <w:rPr>
          <w:rFonts w:ascii="Times New Roman" w:hAnsi="Times New Roman" w:cs="Times New Roman"/>
          <w:sz w:val="28"/>
          <w:szCs w:val="24"/>
        </w:rPr>
        <w:t xml:space="preserve"> признаков.</w:t>
      </w:r>
    </w:p>
    <w:p w14:paraId="37D78A88" w14:textId="77777777" w:rsidR="00E94255" w:rsidRPr="00E94255" w:rsidRDefault="00E94255" w:rsidP="00E9425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C3B6A">
        <w:rPr>
          <w:rFonts w:ascii="Times New Roman" w:hAnsi="Times New Roman" w:cs="Times New Roman"/>
          <w:sz w:val="28"/>
          <w:szCs w:val="24"/>
          <w:highlight w:val="yellow"/>
        </w:rPr>
        <w:t>phi</w:t>
      </w:r>
      <w:proofErr w:type="spellEnd"/>
      <w:r w:rsidRPr="003C3B6A">
        <w:rPr>
          <w:rFonts w:ascii="Times New Roman" w:hAnsi="Times New Roman" w:cs="Times New Roman"/>
          <w:sz w:val="28"/>
          <w:szCs w:val="24"/>
          <w:highlight w:val="yellow"/>
        </w:rPr>
        <w:t xml:space="preserve">-k </w:t>
      </w:r>
      <w:proofErr w:type="spellStart"/>
      <w:r w:rsidRPr="003C3B6A">
        <w:rPr>
          <w:rFonts w:ascii="Times New Roman" w:hAnsi="Times New Roman" w:cs="Times New Roman"/>
          <w:sz w:val="28"/>
          <w:szCs w:val="24"/>
          <w:highlight w:val="yellow"/>
        </w:rPr>
        <w:t>correlation</w:t>
      </w:r>
      <w:proofErr w:type="spellEnd"/>
      <w:r w:rsidRPr="003C3B6A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proofErr w:type="spellStart"/>
      <w:r w:rsidRPr="003C3B6A">
        <w:rPr>
          <w:rFonts w:ascii="Times New Roman" w:hAnsi="Times New Roman" w:cs="Times New Roman"/>
          <w:sz w:val="28"/>
          <w:szCs w:val="24"/>
          <w:highlight w:val="yellow"/>
        </w:rPr>
        <w:t>matrix</w:t>
      </w:r>
      <w:proofErr w:type="spellEnd"/>
      <w:r w:rsidRPr="003C3B6A">
        <w:rPr>
          <w:rFonts w:ascii="Times New Roman" w:hAnsi="Times New Roman" w:cs="Times New Roman"/>
          <w:sz w:val="28"/>
          <w:szCs w:val="24"/>
          <w:highlight w:val="yellow"/>
        </w:rPr>
        <w:t xml:space="preserve"> из библиотеки </w:t>
      </w:r>
      <w:proofErr w:type="spellStart"/>
      <w:r w:rsidRPr="003C3B6A">
        <w:rPr>
          <w:rFonts w:ascii="Times New Roman" w:hAnsi="Times New Roman" w:cs="Times New Roman"/>
          <w:sz w:val="28"/>
          <w:szCs w:val="24"/>
          <w:highlight w:val="yellow"/>
        </w:rPr>
        <w:t>phik</w:t>
      </w:r>
      <w:proofErr w:type="spellEnd"/>
      <w:r w:rsidRPr="003C3B6A">
        <w:rPr>
          <w:rFonts w:ascii="Times New Roman" w:hAnsi="Times New Roman" w:cs="Times New Roman"/>
          <w:sz w:val="28"/>
          <w:szCs w:val="24"/>
          <w:highlight w:val="yellow"/>
        </w:rPr>
        <w:t xml:space="preserve"> тоже не показала значимой зависимости признаков.</w:t>
      </w:r>
    </w:p>
    <w:p w14:paraId="05B97C05" w14:textId="77777777" w:rsidR="00E94255" w:rsidRDefault="00E94255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1E7C31" w14:textId="77777777" w:rsidR="00D037B6" w:rsidRDefault="00D037B6" w:rsidP="00D037B6">
      <w:pPr>
        <w:pStyle w:val="2"/>
      </w:pPr>
      <w:r w:rsidRPr="00DF5A6E">
        <w:t xml:space="preserve">Bank Customer </w:t>
      </w:r>
      <w:proofErr w:type="spellStart"/>
      <w:r w:rsidRPr="00DF5A6E">
        <w:t>Churn</w:t>
      </w:r>
      <w:proofErr w:type="spellEnd"/>
      <w:r w:rsidRPr="00DF5A6E">
        <w:t xml:space="preserve"> </w:t>
      </w:r>
      <w:proofErr w:type="spellStart"/>
      <w:r w:rsidRPr="00DF5A6E">
        <w:t>Dataset</w:t>
      </w:r>
      <w:proofErr w:type="spellEnd"/>
      <w:r w:rsidRPr="004778E6">
        <w:rPr>
          <w:szCs w:val="32"/>
          <w:vertAlign w:val="superscript"/>
        </w:rPr>
        <w:footnoteReference w:id="2"/>
      </w:r>
    </w:p>
    <w:p w14:paraId="6A68A42C" w14:textId="77777777" w:rsidR="00D037B6" w:rsidRPr="00D037B6" w:rsidRDefault="00D037B6" w:rsidP="00D037B6"/>
    <w:p w14:paraId="473608FB" w14:textId="77777777" w:rsidR="00D037B6" w:rsidRDefault="00D037B6" w:rsidP="00D037B6">
      <w:pPr>
        <w:pStyle w:val="3"/>
        <w:ind w:left="0" w:firstLine="567"/>
      </w:pPr>
      <w:r>
        <w:t xml:space="preserve">Обзор и анализ </w:t>
      </w:r>
      <w:proofErr w:type="spellStart"/>
      <w:r>
        <w:t>датасета</w:t>
      </w:r>
      <w:proofErr w:type="spellEnd"/>
    </w:p>
    <w:p w14:paraId="59FABE47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характеристики, как возраст, пол, индекс массы тела (ИМТ), гипертония, 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7238BC3C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lastRenderedPageBreak/>
        <w:t>gender, Пол относится к биологическому полу человека, который может влиять на его восприимчивость к диабету. В нем есть три категории: мужские, женские и другие.</w:t>
      </w:r>
    </w:p>
    <w:p w14:paraId="58AD95AF" w14:textId="6FADE7AE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age, Возраст является важным фактором, поскольку диабет чаще диагностируется у пожилых людей. Возраст в нашем наборе данных варьируется от 0 до 80 лет.</w:t>
      </w:r>
    </w:p>
    <w:p w14:paraId="3B300030" w14:textId="18D88F0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Hypertension, Гипертония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гипертония.</w:t>
      </w:r>
    </w:p>
    <w:p w14:paraId="76FAA36A" w14:textId="30943C46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heart_disease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Сердечно-сосудистые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сердца.</w:t>
      </w:r>
    </w:p>
    <w:p w14:paraId="3DD271CA" w14:textId="0D3B498F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smoking_history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B851B9" w:rsidRPr="00B851B9">
        <w:rPr>
          <w:rFonts w:ascii="Times New Roman" w:hAnsi="Times New Roman" w:cs="Times New Roman"/>
          <w:sz w:val="28"/>
          <w:szCs w:val="24"/>
        </w:rPr>
        <w:t>Курение также считается фактором риска развития диабета и может усугубить осложнения, связанные с диабетом.</w:t>
      </w:r>
    </w:p>
    <w:p w14:paraId="28A380B5" w14:textId="3E7CAD28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составляет от 10,16 до 71,55. ИМТ менее 18,5 — недостаточный вес, 18,5–24,9 — нормальный, 25–29,9 — избыточный вес, 30 и более — ожирение.</w:t>
      </w:r>
    </w:p>
    <w:p w14:paraId="281F4165" w14:textId="5E7126B7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HbA1c_level, Уровень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диабет.</w:t>
      </w:r>
    </w:p>
    <w:p w14:paraId="081D8053" w14:textId="78A09A80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blood_glucose_level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Уровень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диабета.</w:t>
      </w:r>
    </w:p>
    <w:p w14:paraId="759DC183" w14:textId="6F4930BD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Diabetes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Диабет является прогнозируемой целевой переменной, где значения 1 указывают на наличие диабета, а 0 — на отсутствие диабета.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1BAB872" w14:textId="56953D3E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присутствуют экстремальные значения.</w:t>
      </w:r>
    </w:p>
    <w:p w14:paraId="68B66ED1" w14:textId="77777777" w:rsidR="00B851B9" w:rsidRP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4" w:name="_Toc136710203"/>
      <w:r>
        <w:t>Выводы по разделу</w:t>
      </w:r>
      <w:bookmarkEnd w:id="34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Должны быть выводы по каждому разделу.</w:t>
      </w: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35" w:name="_Toc136710204"/>
      <w:r>
        <w:lastRenderedPageBreak/>
        <w:t>Заключение</w:t>
      </w:r>
      <w:bookmarkEnd w:id="35"/>
    </w:p>
    <w:p w14:paraId="3DD6C00B" w14:textId="77777777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68C0B" w14:textId="5D1305E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E9425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текста</w:t>
      </w:r>
      <w:r w:rsidRPr="00E94255">
        <w:rPr>
          <w:rFonts w:ascii="Times New Roman" w:hAnsi="Times New Roman" w:cs="Times New Roman"/>
          <w:sz w:val="28"/>
          <w:szCs w:val="24"/>
        </w:rPr>
        <w:t>.</w:t>
      </w:r>
    </w:p>
    <w:p w14:paraId="0AF0E89B" w14:textId="5A59059C" w:rsidR="00F258E1" w:rsidRPr="00E94255" w:rsidRDefault="00F258E1">
      <w:pPr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36" w:name="_Toc136710205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37" w:name="_Ref136190735"/>
      <w:bookmarkStart w:id="38" w:name="_Ref38472386"/>
      <w:bookmarkEnd w:id="36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39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37"/>
      <w:bookmarkEnd w:id="39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0" w:name="_Ref136191728"/>
      <w:bookmarkEnd w:id="38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0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1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2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3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3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4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4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45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6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46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47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48"/>
    </w:p>
    <w:p w14:paraId="32D46186" w14:textId="41EC2AE7" w:rsidR="00715168" w:rsidRPr="00151294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9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49"/>
    </w:p>
    <w:bookmarkEnd w:id="41"/>
    <w:p w14:paraId="5185B077" w14:textId="2F66FCA1" w:rsidR="00132CCE" w:rsidRPr="00715168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15168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0" w:name="_Toc136710206"/>
      <w:r>
        <w:lastRenderedPageBreak/>
        <w:t>Приложения</w:t>
      </w:r>
      <w:bookmarkEnd w:id="50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1" w:name="_Toc136710207"/>
      <w:r>
        <w:t xml:space="preserve">Приложение </w:t>
      </w:r>
      <w:r w:rsidR="008B4AC8">
        <w:t>А</w:t>
      </w:r>
      <w:r>
        <w:t>. Листинг программы</w:t>
      </w:r>
      <w:bookmarkEnd w:id="51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commentRangeStart w:id="52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commentRangeEnd w:id="52"/>
      <w:r w:rsidR="009309A1">
        <w:rPr>
          <w:rStyle w:val="ae"/>
        </w:rPr>
        <w:commentReference w:id="52"/>
      </w:r>
      <w:r w:rsidRPr="009309A1">
        <w:rPr>
          <w:rFonts w:ascii="Consolas" w:hAnsi="Consolas" w:cs="Times New Roman"/>
          <w:sz w:val="24"/>
          <w:szCs w:val="24"/>
          <w:lang w:val="en-US"/>
        </w:rPr>
        <w:t>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E14E58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E14E58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E14E58">
        <w:rPr>
          <w:rFonts w:ascii="Consolas" w:hAnsi="Consolas" w:cs="Times New Roman"/>
          <w:sz w:val="24"/>
          <w:szCs w:val="24"/>
        </w:rPr>
        <w:t>(</w:t>
      </w:r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E14E58">
        <w:rPr>
          <w:rFonts w:ascii="Consolas" w:hAnsi="Consolas" w:cs="Times New Roman"/>
          <w:sz w:val="24"/>
          <w:szCs w:val="24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E14E58">
        <w:rPr>
          <w:rFonts w:ascii="Consolas" w:hAnsi="Consolas" w:cs="Times New Roman"/>
          <w:sz w:val="24"/>
          <w:szCs w:val="24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E14E58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E14E58">
        <w:rPr>
          <w:rFonts w:ascii="Consolas" w:hAnsi="Consolas" w:cs="Times New Roman"/>
          <w:sz w:val="24"/>
          <w:szCs w:val="24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14E58">
        <w:rPr>
          <w:rFonts w:ascii="Consolas" w:hAnsi="Consolas" w:cs="Times New Roman"/>
          <w:sz w:val="24"/>
          <w:szCs w:val="24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csv.Error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sys.exit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'.format(filename, </w:t>
      </w:r>
      <w:proofErr w:type="spellStart"/>
      <w:r w:rsidRPr="009309A1">
        <w:rPr>
          <w:rFonts w:ascii="Consolas" w:hAnsi="Consolas" w:cs="Times New Roman"/>
          <w:sz w:val="24"/>
          <w:szCs w:val="24"/>
          <w:lang w:val="en-US"/>
        </w:rPr>
        <w:t>reader.line_num</w:t>
      </w:r>
      <w:proofErr w:type="spellEnd"/>
      <w:r w:rsidRPr="009309A1">
        <w:rPr>
          <w:rFonts w:ascii="Consolas" w:hAnsi="Consolas" w:cs="Times New Roman"/>
          <w:sz w:val="24"/>
          <w:szCs w:val="24"/>
          <w:lang w:val="en-US"/>
        </w:rPr>
        <w:t>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32CCE">
        <w:rPr>
          <w:rFonts w:ascii="Consolas" w:hAnsi="Consolas" w:cs="Times New Roman"/>
          <w:sz w:val="24"/>
          <w:szCs w:val="24"/>
          <w:lang w:val="en-US"/>
        </w:rPr>
        <w:t>someiterable</w:t>
      </w:r>
      <w:proofErr w:type="spellEnd"/>
      <w:r w:rsidRPr="00132CC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53" w:name="_Toc136710208"/>
      <w:commentRangeStart w:id="54"/>
      <w:r>
        <w:lastRenderedPageBreak/>
        <w:t xml:space="preserve">Приложение </w:t>
      </w:r>
      <w:commentRangeEnd w:id="54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54"/>
      </w:r>
      <w:r w:rsidR="008B4AC8">
        <w:t>Б</w:t>
      </w:r>
      <w:r>
        <w:t>. Перечень сокращений и обозначений</w:t>
      </w:r>
      <w:bookmarkEnd w:id="53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AA323A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gramStart"/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proofErr w:type="gramEnd"/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27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втор" w:initials="A">
    <w:p w14:paraId="1224F8EC" w14:textId="50A5F89F" w:rsidR="009309A1" w:rsidRDefault="009309A1">
      <w:pPr>
        <w:pStyle w:val="af"/>
      </w:pPr>
      <w:r>
        <w:rPr>
          <w:rStyle w:val="ae"/>
        </w:rPr>
        <w:annotationRef/>
      </w:r>
      <w:r>
        <w:t>Проверьте ученую степень и должность руководителя!</w:t>
      </w:r>
    </w:p>
  </w:comment>
  <w:comment w:id="52" w:author="Автор" w:initials="A">
    <w:p w14:paraId="0FBCBDBA" w14:textId="4C468E1C" w:rsidR="009309A1" w:rsidRDefault="009309A1">
      <w:pPr>
        <w:pStyle w:val="af"/>
      </w:pPr>
      <w:r>
        <w:rPr>
          <w:rStyle w:val="ae"/>
        </w:rPr>
        <w:annotationRef/>
      </w:r>
      <w:r>
        <w:t>Шрифт можно уменьшить</w:t>
      </w:r>
    </w:p>
  </w:comment>
  <w:comment w:id="54" w:author="Автор" w:initials="A">
    <w:p w14:paraId="36CE23BD" w14:textId="1A60D449" w:rsidR="009309A1" w:rsidRDefault="009309A1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4F8EC" w15:done="0"/>
  <w15:commentEx w15:paraId="0FBCBDBA" w15:done="0"/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1685" w14:textId="77777777" w:rsidR="00A61EAB" w:rsidRDefault="00A61EAB" w:rsidP="003E32DB">
      <w:pPr>
        <w:spacing w:after="0" w:line="240" w:lineRule="auto"/>
      </w:pPr>
      <w:r>
        <w:separator/>
      </w:r>
    </w:p>
  </w:endnote>
  <w:endnote w:type="continuationSeparator" w:id="0">
    <w:p w14:paraId="4D62539A" w14:textId="77777777" w:rsidR="00A61EAB" w:rsidRDefault="00A61EAB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32CCE" w:rsidRPr="003E32DB" w:rsidRDefault="00132CCE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32CCE" w:rsidRDefault="00132C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875C" w14:textId="77777777" w:rsidR="00A61EAB" w:rsidRDefault="00A61EAB" w:rsidP="003E32DB">
      <w:pPr>
        <w:spacing w:after="0" w:line="240" w:lineRule="auto"/>
      </w:pPr>
      <w:r>
        <w:separator/>
      </w:r>
    </w:p>
  </w:footnote>
  <w:footnote w:type="continuationSeparator" w:id="0">
    <w:p w14:paraId="54182BFD" w14:textId="77777777" w:rsidR="00A61EAB" w:rsidRDefault="00A61EAB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DF5A6E" w:rsidRPr="00BB6FED" w:rsidRDefault="00DF5A6E">
      <w:pPr>
        <w:pStyle w:val="af9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b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="00903AC2"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03AC2"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="00903AC2"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D037B6" w:rsidRPr="00BB6FED" w:rsidRDefault="00D037B6" w:rsidP="00D037B6">
      <w:pPr>
        <w:pStyle w:val="af9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b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83703069">
    <w:abstractNumId w:val="6"/>
  </w:num>
  <w:num w:numId="2" w16cid:durableId="18386433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9232771">
    <w:abstractNumId w:val="4"/>
  </w:num>
  <w:num w:numId="4" w16cid:durableId="78216968">
    <w:abstractNumId w:val="11"/>
  </w:num>
  <w:num w:numId="5" w16cid:durableId="1250045539">
    <w:abstractNumId w:val="2"/>
  </w:num>
  <w:num w:numId="6" w16cid:durableId="670179685">
    <w:abstractNumId w:val="8"/>
  </w:num>
  <w:num w:numId="7" w16cid:durableId="2120370743">
    <w:abstractNumId w:val="9"/>
  </w:num>
  <w:num w:numId="8" w16cid:durableId="1098603931">
    <w:abstractNumId w:val="3"/>
  </w:num>
  <w:num w:numId="9" w16cid:durableId="54470294">
    <w:abstractNumId w:val="0"/>
  </w:num>
  <w:num w:numId="10" w16cid:durableId="1997494194">
    <w:abstractNumId w:val="1"/>
  </w:num>
  <w:num w:numId="11" w16cid:durableId="599292801">
    <w:abstractNumId w:val="5"/>
  </w:num>
  <w:num w:numId="12" w16cid:durableId="2133817099">
    <w:abstractNumId w:val="7"/>
  </w:num>
  <w:num w:numId="13" w16cid:durableId="20776493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81343"/>
    <w:rsid w:val="00284B5C"/>
    <w:rsid w:val="002A051E"/>
    <w:rsid w:val="002A2D22"/>
    <w:rsid w:val="002B427A"/>
    <w:rsid w:val="002D4734"/>
    <w:rsid w:val="002D6AC5"/>
    <w:rsid w:val="0030653D"/>
    <w:rsid w:val="00345B38"/>
    <w:rsid w:val="003A0A18"/>
    <w:rsid w:val="003C3B6A"/>
    <w:rsid w:val="003C642D"/>
    <w:rsid w:val="003D278E"/>
    <w:rsid w:val="003E32DB"/>
    <w:rsid w:val="003E64D5"/>
    <w:rsid w:val="00405B42"/>
    <w:rsid w:val="00417407"/>
    <w:rsid w:val="00417B9F"/>
    <w:rsid w:val="00436AA0"/>
    <w:rsid w:val="00472303"/>
    <w:rsid w:val="004778E6"/>
    <w:rsid w:val="0049577D"/>
    <w:rsid w:val="004B1733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D11A1"/>
    <w:rsid w:val="007D1220"/>
    <w:rsid w:val="007D19C5"/>
    <w:rsid w:val="007E22A9"/>
    <w:rsid w:val="00811C55"/>
    <w:rsid w:val="00824B73"/>
    <w:rsid w:val="0085574C"/>
    <w:rsid w:val="008B4AC8"/>
    <w:rsid w:val="008C15CD"/>
    <w:rsid w:val="008E03D7"/>
    <w:rsid w:val="00903AC2"/>
    <w:rsid w:val="0090459C"/>
    <w:rsid w:val="009309A1"/>
    <w:rsid w:val="00961232"/>
    <w:rsid w:val="009A52C9"/>
    <w:rsid w:val="009B7063"/>
    <w:rsid w:val="009F0F94"/>
    <w:rsid w:val="00A02393"/>
    <w:rsid w:val="00A16A49"/>
    <w:rsid w:val="00A527A6"/>
    <w:rsid w:val="00A61EAB"/>
    <w:rsid w:val="00A67589"/>
    <w:rsid w:val="00A86412"/>
    <w:rsid w:val="00AA323A"/>
    <w:rsid w:val="00AB3ABD"/>
    <w:rsid w:val="00AB5B77"/>
    <w:rsid w:val="00AD115C"/>
    <w:rsid w:val="00AE5ABA"/>
    <w:rsid w:val="00B118AF"/>
    <w:rsid w:val="00B120CF"/>
    <w:rsid w:val="00B22231"/>
    <w:rsid w:val="00B77A66"/>
    <w:rsid w:val="00B851B9"/>
    <w:rsid w:val="00BA76E9"/>
    <w:rsid w:val="00BB6FED"/>
    <w:rsid w:val="00BD25DD"/>
    <w:rsid w:val="00BF2F3E"/>
    <w:rsid w:val="00BF72ED"/>
    <w:rsid w:val="00C0033D"/>
    <w:rsid w:val="00C412F0"/>
    <w:rsid w:val="00C65DEE"/>
    <w:rsid w:val="00C94066"/>
    <w:rsid w:val="00CB1913"/>
    <w:rsid w:val="00CB2A93"/>
    <w:rsid w:val="00CC013C"/>
    <w:rsid w:val="00D037B6"/>
    <w:rsid w:val="00D22A01"/>
    <w:rsid w:val="00D56029"/>
    <w:rsid w:val="00D81313"/>
    <w:rsid w:val="00DC5515"/>
    <w:rsid w:val="00DD37F5"/>
    <w:rsid w:val="00DE7DCF"/>
    <w:rsid w:val="00DF5A6E"/>
    <w:rsid w:val="00E14E58"/>
    <w:rsid w:val="00E26BE8"/>
    <w:rsid w:val="00E630E2"/>
    <w:rsid w:val="00E66F8A"/>
    <w:rsid w:val="00E94255"/>
    <w:rsid w:val="00E942A7"/>
    <w:rsid w:val="00EB0021"/>
    <w:rsid w:val="00EC0D23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D115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AD115C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c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d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gauravtopre/bank-customer-chur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2A322-20BE-4C01-B9D1-BCB5E71BC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5558</Words>
  <Characters>31685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