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4CDF8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</w:rPr>
      </w:pPr>
      <w:r w:rsidRPr="004E434E">
        <w:rPr>
          <w:b/>
        </w:rPr>
        <w:t>Организационно-правовые формы предприятий</w:t>
      </w:r>
    </w:p>
    <w:p w14:paraId="0E76AF17" w14:textId="4D3E084D" w:rsidR="00B5761C" w:rsidRPr="008A3A00" w:rsidRDefault="002815D0" w:rsidP="007533F4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</w:rPr>
      </w:pPr>
      <w:r w:rsidRPr="008A3A00">
        <w:rPr>
          <w:b/>
          <w:bCs/>
        </w:rPr>
        <w:t>Статистика</w:t>
      </w:r>
    </w:p>
    <w:p w14:paraId="1074469C" w14:textId="002CC302" w:rsidR="00B5761C" w:rsidRDefault="00507A2B" w:rsidP="00BE2D83">
      <w:pPr>
        <w:pStyle w:val="a3"/>
        <w:keepNext/>
        <w:spacing w:after="0"/>
        <w:ind w:left="0"/>
      </w:pPr>
      <w:r>
        <w:t>Согласование наименований ЮЛ</w:t>
      </w:r>
    </w:p>
    <w:tbl>
      <w:tblPr>
        <w:tblW w:w="4610" w:type="pct"/>
        <w:tblLook w:val="04A0" w:firstRow="1" w:lastRow="0" w:firstColumn="1" w:lastColumn="0" w:noHBand="0" w:noVBand="1"/>
      </w:tblPr>
      <w:tblGrid>
        <w:gridCol w:w="2126"/>
        <w:gridCol w:w="776"/>
        <w:gridCol w:w="800"/>
        <w:gridCol w:w="800"/>
        <w:gridCol w:w="1546"/>
        <w:gridCol w:w="1546"/>
        <w:gridCol w:w="1544"/>
      </w:tblGrid>
      <w:tr w:rsidR="00ED5160" w:rsidRPr="009451C9" w14:paraId="7C86E446" w14:textId="77777777" w:rsidTr="00ED5160">
        <w:trPr>
          <w:trHeight w:val="253"/>
        </w:trPr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89A7" w14:textId="3877A1F4" w:rsidR="00ED5160" w:rsidRPr="009451C9" w:rsidRDefault="00ED516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5704E" w14:textId="210CCAF7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59B9" w14:textId="1B87C96D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CB94" w14:textId="43472BBF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6972C" w14:textId="1C660D5D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BD8" w14:textId="121B6D7F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016C8" w14:textId="41446A44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2023/2015, %</w:t>
            </w:r>
          </w:p>
        </w:tc>
      </w:tr>
      <w:tr w:rsidR="00ED5160" w:rsidRPr="009451C9" w14:paraId="71DC873A" w14:textId="77777777" w:rsidTr="00ED5160">
        <w:trPr>
          <w:trHeight w:val="253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47AA" w14:textId="78AD9754" w:rsidR="00ED5160" w:rsidRPr="009451C9" w:rsidRDefault="00ED5160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бумажном виде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A36DF" w14:textId="00436E3F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FB5A" w14:textId="512B156A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3127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8C93" w14:textId="7CE16F40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2718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DE49" w14:textId="6F75F218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136,37%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6C29" w14:textId="1AD568B3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86,92%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5256" w14:textId="081E56C0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19,19%</w:t>
            </w:r>
          </w:p>
        </w:tc>
      </w:tr>
      <w:tr w:rsidR="00ED5160" w:rsidRPr="009451C9" w14:paraId="4DBF1C19" w14:textId="77777777" w:rsidTr="00ED5160">
        <w:trPr>
          <w:trHeight w:val="253"/>
        </w:trPr>
        <w:tc>
          <w:tcPr>
            <w:tcW w:w="11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C20B" w14:textId="0EF2AE50" w:rsidR="00ED5160" w:rsidRPr="009451C9" w:rsidRDefault="00ED5160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электронном виде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CF125" w14:textId="085BAB8B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25476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E76B" w14:textId="5737026C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33359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9B895" w14:textId="7464D79A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31316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AF542" w14:textId="5BB01E23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130,94%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FC99B" w14:textId="0E8113D6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93,88%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170D" w14:textId="08E2BA88" w:rsidR="00ED5160" w:rsidRPr="009451C9" w:rsidRDefault="00ED516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293,50%</w:t>
            </w:r>
          </w:p>
        </w:tc>
      </w:tr>
    </w:tbl>
    <w:p w14:paraId="0E4FCD48" w14:textId="695B2B44" w:rsidR="00D00C8C" w:rsidRDefault="003023C6" w:rsidP="003023C6">
      <w:pPr>
        <w:pStyle w:val="a3"/>
        <w:spacing w:before="240" w:after="240"/>
        <w:ind w:left="0"/>
        <w:contextualSpacing w:val="0"/>
        <w:jc w:val="center"/>
      </w:pPr>
      <w:r>
        <w:rPr>
          <w:noProof/>
          <w:lang w:val="en-US"/>
        </w:rPr>
        <w:drawing>
          <wp:inline distT="0" distB="0" distL="0" distR="0" wp14:anchorId="6997CFE7" wp14:editId="5556B6FD">
            <wp:extent cx="5572125" cy="3286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00FDB9" w14:textId="036DAA5C" w:rsidR="00BE2D83" w:rsidRPr="00BE2D83" w:rsidRDefault="00BE2D83" w:rsidP="002D633B">
      <w:pPr>
        <w:spacing w:after="0"/>
        <w:ind w:firstLine="709"/>
        <w:jc w:val="both"/>
      </w:pPr>
      <w:r>
        <w:t>Вывод: согласно приведённой статистике,</w:t>
      </w:r>
      <w:r w:rsidR="002D633B">
        <w:t xml:space="preserve"> с 2021 по 2023 годы</w:t>
      </w:r>
      <w:r>
        <w:t xml:space="preserve"> количество согласований наименований ЮЛ в электронном виде значительно превышало количество таковых в бумажном виде</w:t>
      </w:r>
      <w:r w:rsidR="00FB293F">
        <w:t>, а также наблюдается тенденция роста согласовани</w:t>
      </w:r>
      <w:r w:rsidR="00C466A0">
        <w:t>й в электронном виде и сокращен</w:t>
      </w:r>
      <w:r w:rsidR="00C54B28">
        <w:t>ия согласований в бумажном виде</w:t>
      </w:r>
      <w:r w:rsidR="00C466A0">
        <w:t>.</w:t>
      </w:r>
      <w:r w:rsidR="008F6C24">
        <w:t xml:space="preserve"> Данная статистика свидетельствует о цифровизации административных процедур.</w:t>
      </w:r>
    </w:p>
    <w:p w14:paraId="76C63096" w14:textId="608CDCD7" w:rsidR="00BE2D83" w:rsidRDefault="00BE2D83" w:rsidP="00BE2D83">
      <w:r>
        <w:br w:type="page"/>
      </w:r>
    </w:p>
    <w:p w14:paraId="10D9BC26" w14:textId="337799B0" w:rsidR="009451C9" w:rsidRDefault="00507A2B" w:rsidP="00BE2D83">
      <w:pPr>
        <w:pStyle w:val="a3"/>
        <w:keepNext/>
        <w:spacing w:before="240" w:after="0"/>
        <w:ind w:left="0"/>
        <w:contextualSpacing w:val="0"/>
      </w:pPr>
      <w:r w:rsidRPr="00507A2B">
        <w:lastRenderedPageBreak/>
        <w:t>Электронная регистрация и ликвидация субъектов хозяйствования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0"/>
        <w:gridCol w:w="785"/>
        <w:gridCol w:w="785"/>
        <w:gridCol w:w="785"/>
        <w:gridCol w:w="1738"/>
        <w:gridCol w:w="1738"/>
      </w:tblGrid>
      <w:tr w:rsidR="008A2800" w:rsidRPr="009451C9" w14:paraId="33DE5825" w14:textId="77777777" w:rsidTr="008A2800">
        <w:trPr>
          <w:trHeight w:val="260"/>
        </w:trPr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6F44A" w14:textId="69C27BC3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825E" w14:textId="73A4F605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40E90" w14:textId="17EF0BBE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F8FE9" w14:textId="100143F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E988" w14:textId="53CC7D9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C0B67" w14:textId="4DA88E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1483E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423A" w14:textId="416640C0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ЮЛ,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1B384" w14:textId="3EDD04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3811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09FF3" w14:textId="38679C1D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14AE" w14:textId="270A148B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4439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72429" w14:textId="77707A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106,09%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327A3" w14:textId="12661B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109,79%</w:t>
            </w:r>
          </w:p>
        </w:tc>
      </w:tr>
      <w:tr w:rsidR="008A2800" w:rsidRPr="009451C9" w14:paraId="74A9082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475FB" w14:textId="590BF288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ИП,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EE1D8" w14:textId="333FC228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AF621" w14:textId="4A07DB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47F3" w14:textId="4FD68A9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207C6" w14:textId="4389B533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99,20%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03E" w14:textId="3917C9C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79,72%</w:t>
            </w:r>
          </w:p>
        </w:tc>
      </w:tr>
      <w:tr w:rsidR="008A2800" w:rsidRPr="009451C9" w14:paraId="1BABC58D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4351" w14:textId="35696A0F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Уведомления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5462F" w14:textId="05BABE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5419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21EB0" w14:textId="126DC98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6221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026D1" w14:textId="35DA796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7416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1ACF" w14:textId="5D87A07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114,80%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74CD7" w14:textId="02648F1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119,21%</w:t>
            </w:r>
          </w:p>
        </w:tc>
      </w:tr>
      <w:tr w:rsidR="008A2800" w:rsidRPr="009451C9" w14:paraId="1912304F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65DA" w14:textId="27039E8D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Ликвидация ЮЛ, ИП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E1572" w14:textId="308E1B5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3539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96133" w14:textId="77E5062A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B080" w14:textId="7D9FB6EC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1509" w14:textId="7F181AB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53,07%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5E1C0" w14:textId="7D3D46C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79,50%</w:t>
            </w:r>
          </w:p>
        </w:tc>
      </w:tr>
    </w:tbl>
    <w:p w14:paraId="73C163C0" w14:textId="77777777" w:rsidR="00B75E12" w:rsidRDefault="00B75E12" w:rsidP="00C466A0">
      <w:pPr>
        <w:pStyle w:val="a3"/>
        <w:spacing w:before="240" w:after="240"/>
        <w:ind w:left="0"/>
        <w:contextualSpacing w:val="0"/>
      </w:pPr>
      <w:r>
        <w:rPr>
          <w:noProof/>
          <w:lang w:val="en-US"/>
        </w:rPr>
        <w:drawing>
          <wp:inline distT="0" distB="0" distL="0" distR="0" wp14:anchorId="5D1CA5F3" wp14:editId="75868B9C">
            <wp:extent cx="6271260" cy="3390900"/>
            <wp:effectExtent l="0" t="0" r="15240" b="0"/>
            <wp:docPr id="91533336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FAADCB" w14:textId="75303B21" w:rsidR="00C466A0" w:rsidRPr="00BE2D83" w:rsidRDefault="00C466A0" w:rsidP="002D633B">
      <w:pPr>
        <w:spacing w:after="0"/>
        <w:ind w:firstLine="709"/>
        <w:jc w:val="both"/>
      </w:pPr>
      <w:r>
        <w:t>Вывод: согласно приведённой статистике, с 2021 по 2023 годы наблюдается стабильный рост регистрации ЮЛ, включая изменения, и увеличение числа уведомлений; в то же время снижается регистрация ИП и сокращается ч</w:t>
      </w:r>
      <w:r w:rsidR="008F6C24">
        <w:t>и</w:t>
      </w:r>
      <w:r>
        <w:t>сло ликвидаций ЮЛ и ИП.</w:t>
      </w:r>
      <w:r w:rsidR="008F6C24">
        <w:t xml:space="preserve"> Данная статистика свидетельствует о переходе из ИП в ЮЛ</w:t>
      </w:r>
      <w:r w:rsidR="00B51ABD">
        <w:t xml:space="preserve"> и улучшении условий для сохранения субъектов хозяйствования.</w:t>
      </w:r>
    </w:p>
    <w:p w14:paraId="56EA987D" w14:textId="77777777" w:rsidR="00BE2D83" w:rsidRDefault="00BE2D83" w:rsidP="00BE2D83">
      <w:r>
        <w:br w:type="page"/>
      </w:r>
    </w:p>
    <w:p w14:paraId="31D85F4C" w14:textId="4BB0C10B" w:rsidR="00507A2B" w:rsidRDefault="00507A2B" w:rsidP="00BE2D83">
      <w:pPr>
        <w:pStyle w:val="a3"/>
        <w:keepNext/>
        <w:spacing w:before="240" w:after="0"/>
        <w:ind w:left="0"/>
        <w:contextualSpacing w:val="0"/>
      </w:pPr>
      <w:r>
        <w:lastRenderedPageBreak/>
        <w:t>Предоставление информации из ЕГР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4"/>
        <w:gridCol w:w="1023"/>
        <w:gridCol w:w="1023"/>
        <w:gridCol w:w="1023"/>
        <w:gridCol w:w="1483"/>
        <w:gridCol w:w="1485"/>
      </w:tblGrid>
      <w:tr w:rsidR="00BE2D83" w:rsidRPr="009451C9" w14:paraId="2CE26E83" w14:textId="77777777" w:rsidTr="008A2800">
        <w:trPr>
          <w:trHeight w:val="288"/>
        </w:trPr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1A4" w14:textId="2CF02375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6E4" w14:textId="2246ADDD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B67" w14:textId="76F9B3B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856" w14:textId="64D7726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84BF" w14:textId="102FFB7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3D45" w14:textId="6239E5A4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43478C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678B" w14:textId="43CA2299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Общее количество выписок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BB4" w14:textId="16C5FCD1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26042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38AC" w14:textId="17256240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24411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7FB" w14:textId="283BBF5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24917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CB" w14:textId="0D96CEA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93,74%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044" w14:textId="3D9CE0C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102,07%</w:t>
            </w:r>
          </w:p>
        </w:tc>
      </w:tr>
      <w:tr w:rsidR="008A2800" w:rsidRPr="009451C9" w14:paraId="3F88EAA0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8D58" w14:textId="2BE2067A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Доля выписок в эл. </w:t>
            </w:r>
            <w:r w:rsidR="00B51ABD">
              <w:rPr>
                <w:rFonts w:ascii="Calibri" w:hAnsi="Calibri" w:cs="Calibri"/>
                <w:color w:val="000000"/>
                <w:sz w:val="22"/>
              </w:rPr>
              <w:t>в</w:t>
            </w:r>
            <w:r>
              <w:rPr>
                <w:rFonts w:ascii="Calibri" w:hAnsi="Calibri" w:cs="Calibri"/>
                <w:color w:val="000000"/>
                <w:sz w:val="22"/>
              </w:rPr>
              <w:t>иде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763" w14:textId="0815CAFF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034" w14:textId="3369A51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06A" w14:textId="61599413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76F" w14:textId="42A59FE7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92,32%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9CB" w14:textId="40AD4B19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103,64%</w:t>
            </w:r>
          </w:p>
        </w:tc>
      </w:tr>
    </w:tbl>
    <w:p w14:paraId="31DD36FC" w14:textId="632A11B4" w:rsidR="009451C9" w:rsidRDefault="00605F3D" w:rsidP="006C586C">
      <w:pPr>
        <w:pStyle w:val="a3"/>
        <w:spacing w:before="240" w:after="240"/>
        <w:ind w:left="0"/>
        <w:contextualSpacing w:val="0"/>
        <w:jc w:val="center"/>
      </w:pPr>
      <w:r>
        <w:rPr>
          <w:noProof/>
          <w:lang w:val="en-US"/>
        </w:rPr>
        <w:drawing>
          <wp:inline distT="0" distB="0" distL="0" distR="0" wp14:anchorId="5FF62099" wp14:editId="6B91AC59">
            <wp:extent cx="5410200" cy="31908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90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A818C" w14:textId="72246863" w:rsidR="00B51ABD" w:rsidRDefault="00B51ABD" w:rsidP="002D633B">
      <w:pPr>
        <w:spacing w:after="0"/>
        <w:ind w:firstLine="709"/>
        <w:jc w:val="both"/>
      </w:pPr>
      <w:r>
        <w:t xml:space="preserve">Вывод: согласно приведённой статистике, с 2021 по 2023 годы наблюдается </w:t>
      </w:r>
      <w:r w:rsidR="002D633B">
        <w:t xml:space="preserve">относительно </w:t>
      </w:r>
      <w:r>
        <w:t xml:space="preserve">стабильный </w:t>
      </w:r>
      <w:r w:rsidR="002D633B">
        <w:t xml:space="preserve">спрос на выписки из ЕГР с небольшими колебаниями и </w:t>
      </w:r>
      <w:r w:rsidR="00791F7F">
        <w:t>заметно предпочтение электронного формата выписок</w:t>
      </w:r>
      <w:r w:rsidR="002D633B">
        <w:t>.</w:t>
      </w:r>
      <w:r w:rsidR="00791F7F">
        <w:t xml:space="preserve"> </w:t>
      </w:r>
      <w:r>
        <w:t xml:space="preserve">Данная статистика свидетельствует о </w:t>
      </w:r>
      <w:r w:rsidR="002D633B">
        <w:t>стабильнос</w:t>
      </w:r>
      <w:r w:rsidR="00791F7F">
        <w:t>ти потребности пользователей в выписках из ЕГР и высоком уровне цифровизации.</w:t>
      </w:r>
    </w:p>
    <w:p w14:paraId="79C5A090" w14:textId="06286CF9" w:rsidR="00717762" w:rsidRDefault="00717762" w:rsidP="00717762">
      <w:pPr>
        <w:spacing w:before="240" w:after="240"/>
        <w:jc w:val="center"/>
      </w:pPr>
      <w:r>
        <w:rPr>
          <w:noProof/>
          <w:lang w:val="en-US"/>
        </w:rPr>
        <w:drawing>
          <wp:inline distT="0" distB="0" distL="0" distR="0" wp14:anchorId="57E948A0" wp14:editId="1CBC40A0">
            <wp:extent cx="6299835" cy="153543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77A0" w14:textId="18785C56" w:rsidR="00717762" w:rsidRDefault="00717762" w:rsidP="00717762">
      <w:pPr>
        <w:spacing w:after="0"/>
        <w:ind w:firstLine="709"/>
        <w:jc w:val="both"/>
      </w:pPr>
      <w:r>
        <w:t xml:space="preserve">Вывод: согласно приведённой статистике, с 2021 по 2023 годы наблюдается </w:t>
      </w:r>
      <w:r>
        <w:t>рост числа</w:t>
      </w:r>
      <w:r>
        <w:t xml:space="preserve"> юридических лиц стабильно увеличивается по всей республике, особенно в 2023 году, когда во всех регионах наблюдается значительный рост (от 116,15% до 136,72%).</w:t>
      </w:r>
      <w:r>
        <w:t xml:space="preserve"> </w:t>
      </w:r>
      <w:r>
        <w:t>Число индивидуальных предпринимателей, наоборот, уменьшилось в 2022 году по сравнению с 2021 годом (особенно резко в Минской области и Гродненской области). В 2023 году ситуация стабилизировалась, но в некоторых регионах снижение продолжается.</w:t>
      </w:r>
      <w:r>
        <w:t xml:space="preserve"> </w:t>
      </w:r>
      <w:r>
        <w:t>Минск демонстрирует стабильный рост числа юридических лиц, но данные по ИП отсутствуют, что может указывать на временные трудности с регистрацией или изменением политики.</w:t>
      </w:r>
      <w:bookmarkStart w:id="0" w:name="_GoBack"/>
      <w:bookmarkEnd w:id="0"/>
    </w:p>
    <w:p w14:paraId="35DB62DB" w14:textId="77777777" w:rsidR="00717762" w:rsidRPr="00B51ABD" w:rsidRDefault="00717762" w:rsidP="002D633B">
      <w:pPr>
        <w:spacing w:after="0"/>
        <w:ind w:firstLine="709"/>
        <w:jc w:val="both"/>
      </w:pPr>
    </w:p>
    <w:sectPr w:rsidR="00717762" w:rsidRPr="00B51ABD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FC765" w14:textId="77777777" w:rsidR="00881480" w:rsidRDefault="00881480" w:rsidP="00D00C8C">
      <w:pPr>
        <w:spacing w:after="0"/>
      </w:pPr>
      <w:r>
        <w:separator/>
      </w:r>
    </w:p>
  </w:endnote>
  <w:endnote w:type="continuationSeparator" w:id="0">
    <w:p w14:paraId="7B7C48BC" w14:textId="77777777" w:rsidR="00881480" w:rsidRDefault="00881480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9B093" w14:textId="77777777" w:rsidR="00881480" w:rsidRDefault="00881480" w:rsidP="00D00C8C">
      <w:pPr>
        <w:spacing w:after="0"/>
      </w:pPr>
      <w:r>
        <w:separator/>
      </w:r>
    </w:p>
  </w:footnote>
  <w:footnote w:type="continuationSeparator" w:id="0">
    <w:p w14:paraId="318418A9" w14:textId="77777777" w:rsidR="00881480" w:rsidRDefault="00881480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61B8F"/>
    <w:multiLevelType w:val="hybridMultilevel"/>
    <w:tmpl w:val="910605AC"/>
    <w:lvl w:ilvl="0" w:tplc="B25AA3B0">
      <w:start w:val="6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D3"/>
    <w:rsid w:val="000147D9"/>
    <w:rsid w:val="0003439A"/>
    <w:rsid w:val="00075CA1"/>
    <w:rsid w:val="000B285B"/>
    <w:rsid w:val="0010198D"/>
    <w:rsid w:val="001626CF"/>
    <w:rsid w:val="001D08D3"/>
    <w:rsid w:val="001D0D59"/>
    <w:rsid w:val="00253A84"/>
    <w:rsid w:val="002815D0"/>
    <w:rsid w:val="002D633B"/>
    <w:rsid w:val="003023C6"/>
    <w:rsid w:val="003E69FD"/>
    <w:rsid w:val="00406DA9"/>
    <w:rsid w:val="00456CD3"/>
    <w:rsid w:val="004E434E"/>
    <w:rsid w:val="00507A2B"/>
    <w:rsid w:val="00536C2D"/>
    <w:rsid w:val="00591224"/>
    <w:rsid w:val="0059299A"/>
    <w:rsid w:val="005B444E"/>
    <w:rsid w:val="00605F3D"/>
    <w:rsid w:val="00610971"/>
    <w:rsid w:val="0061243B"/>
    <w:rsid w:val="00616B42"/>
    <w:rsid w:val="006C0B77"/>
    <w:rsid w:val="006C586C"/>
    <w:rsid w:val="00717762"/>
    <w:rsid w:val="00722E94"/>
    <w:rsid w:val="007533F4"/>
    <w:rsid w:val="00791F7F"/>
    <w:rsid w:val="007F4C95"/>
    <w:rsid w:val="008242FF"/>
    <w:rsid w:val="00870751"/>
    <w:rsid w:val="00881480"/>
    <w:rsid w:val="008A2800"/>
    <w:rsid w:val="008A3A00"/>
    <w:rsid w:val="008F6C24"/>
    <w:rsid w:val="00922C48"/>
    <w:rsid w:val="0094167C"/>
    <w:rsid w:val="009451C9"/>
    <w:rsid w:val="00950124"/>
    <w:rsid w:val="00A37ABE"/>
    <w:rsid w:val="00AB6816"/>
    <w:rsid w:val="00B27B72"/>
    <w:rsid w:val="00B51ABD"/>
    <w:rsid w:val="00B5761C"/>
    <w:rsid w:val="00B67DFE"/>
    <w:rsid w:val="00B75E12"/>
    <w:rsid w:val="00B9009F"/>
    <w:rsid w:val="00B915B7"/>
    <w:rsid w:val="00BE2D83"/>
    <w:rsid w:val="00BF0D78"/>
    <w:rsid w:val="00C10E18"/>
    <w:rsid w:val="00C31874"/>
    <w:rsid w:val="00C466A0"/>
    <w:rsid w:val="00C54B28"/>
    <w:rsid w:val="00D00C8C"/>
    <w:rsid w:val="00E2767B"/>
    <w:rsid w:val="00E642BA"/>
    <w:rsid w:val="00E72A84"/>
    <w:rsid w:val="00EA59DF"/>
    <w:rsid w:val="00EB3299"/>
    <w:rsid w:val="00ED5160"/>
    <w:rsid w:val="00EE4070"/>
    <w:rsid w:val="00EE7300"/>
    <w:rsid w:val="00F00CD9"/>
    <w:rsid w:val="00F12C76"/>
    <w:rsid w:val="00FA47B5"/>
    <w:rsid w:val="00FB293F"/>
    <w:rsid w:val="00F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76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1626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Электронная регистрация и ликвидация субъектов хозяйствования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rgbClr val="00DE6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3811</c:v>
                </c:pt>
                <c:pt idx="1">
                  <c:v>875</c:v>
                </c:pt>
                <c:pt idx="2">
                  <c:v>5419</c:v>
                </c:pt>
                <c:pt idx="3">
                  <c:v>3539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E-4BE7-92D2-49DFA0EF3D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4043</c:v>
                </c:pt>
                <c:pt idx="1">
                  <c:v>868</c:v>
                </c:pt>
                <c:pt idx="2">
                  <c:v>6221</c:v>
                </c:pt>
                <c:pt idx="3">
                  <c:v>1878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9E-4BE7-92D2-49DFA0EF3D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rgbClr val="19C3FF"/>
            </a:solidFill>
            <a:ln>
              <a:noFill/>
            </a:ln>
            <a:effectLst/>
            <a:sp3d/>
          </c:spPr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4439</c:v>
                </c:pt>
                <c:pt idx="1">
                  <c:v>692</c:v>
                </c:pt>
                <c:pt idx="2">
                  <c:v>7416</c:v>
                </c:pt>
                <c:pt idx="3">
                  <c:v>1493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9E-4BE7-92D2-49DFA0EF3D4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650460864"/>
        <c:axId val="650461224"/>
        <c:axId val="0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1</cdr:x>
      <cdr:y>1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6295238" cy="4038095"/>
        </a:xfrm>
        <a:prstGeom xmlns:a="http://schemas.openxmlformats.org/drawingml/2006/main" prst="rect">
          <a:avLst/>
        </a:prstGeom>
        <a:ln xmlns:a="http://schemas.openxmlformats.org/drawingml/2006/main">
          <a:solidFill>
            <a:schemeClr val="tx1"/>
          </a:solidFill>
        </a:ln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10093-7EB6-4B0B-B0D8-A95A8D01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DimaDD</cp:lastModifiedBy>
  <cp:revision>30</cp:revision>
  <dcterms:created xsi:type="dcterms:W3CDTF">2024-09-17T07:53:00Z</dcterms:created>
  <dcterms:modified xsi:type="dcterms:W3CDTF">2024-10-17T07:45:00Z</dcterms:modified>
</cp:coreProperties>
</file>