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pPr>
              <w:spacing w:before="0" w:after="0"/>
              <w:jc w:val="center"/>
            </w:pPr>
            <w:r>
              <w:drawing>
                <wp:inline xmlns:a="http://schemas.openxmlformats.org/drawingml/2006/main" xmlns:pic="http://schemas.openxmlformats.org/drawingml/2006/picture">
                  <wp:extent cx="576000" cy="662795"/>
                  <wp:docPr id="1134776112" name="Picture 1134776112"/>
                  <wp:cNvGraphicFramePr>
                    <a:graphicFrameLocks noChangeAspect="1"/>
                  </wp:cNvGraphicFramePr>
                  <a:graphic>
                    <a:graphicData uri="http://schemas.openxmlformats.org/drawingml/2006/picture">
                      <pic:pic>
                        <pic:nvPicPr>
                          <pic:cNvPr id="0" name="simasi.png"/>
                          <pic:cNvPicPr/>
                        </pic:nvPicPr>
                        <pic:blipFill>
                          <a:blip r:embed="rId32"/>
                          <a:stretch>
                            <a:fillRect/>
                          </a:stretch>
                        </pic:blipFill>
                        <pic:spPr>
                          <a:xfrm>
                            <a:off x="0" y="0"/>
                            <a:ext cx="576000" cy="662795"/>
                          </a:xfrm>
                          <a:prstGeom prst="rect"/>
                        </pic:spPr>
                      </pic:pic>
                    </a:graphicData>
                  </a:graphic>
                </wp:inline>
              </w:drawing>
            </w:r>
          </w:p>
        </w:tc>
        <w:tc>
          <w:tcPr>
            <w:tcW w:w="6945" w:type="dxa"/>
            <w:tcBorders>
              <w:top w:val="nil"/>
              <w:bottom w:val="single" w:sz="36" w:space="0" w:color="auto"/>
            </w:tcBorders>
          </w:tcPr>
          <w:p>
            <w:pPr>
              <w:spacing w:before="0" w:after="0" w:line="240" w:lineRule="auto"/>
              <w:jc w:val="center"/>
            </w:pPr>
            <w:r>
              <w:rPr>
                <w:rFonts w:ascii="Adobe Garamond Pro" w:hAnsi="Adobe Garamond Pro"/>
                <w:b/>
                <w:sz w:val="36"/>
              </w:rPr>
              <w:t>JURNAL SIMASI</w:t>
            </w:r>
          </w:p>
          <w:p>
            <w:pPr>
              <w:spacing w:before="20" w:after="0" w:line="240" w:lineRule="auto"/>
              <w:jc w:val="center"/>
            </w:pPr>
            <w:r>
              <w:rPr>
                <w:rFonts w:ascii="Times New Roman" w:hAnsi="Times New Roman"/>
                <w:i/>
                <w:sz w:val="15"/>
              </w:rPr>
              <w:t>p-ISSN 2798-835X (Print) e-ISSN 2798-8341 (Online)</w:t>
            </w:r>
          </w:p>
          <w:p>
            <w:pPr>
              <w:spacing w:before="20" w:after="40" w:line="240" w:lineRule="auto"/>
              <w:jc w:val="center"/>
            </w:pPr>
            <w:r>
              <w:rPr>
                <w:rFonts w:ascii="Times New Roman" w:hAnsi="Times New Roman"/>
                <w:sz w:val="18"/>
              </w:rPr>
              <w:t>Journal Page is available to http://simasi.lppmbinabangsa.id/index.php/home</w:t>
            </w:r>
          </w:p>
        </w:tc>
        <w:tc>
          <w:tcPr>
            <w:tcW w:w="1124" w:type="dxa"/>
            <w:tcBorders>
              <w:top w:val="nil"/>
              <w:bottom w:val="single" w:sz="36" w:space="0" w:color="auto"/>
            </w:tcBorders>
          </w:tcPr>
          <w:p>
            <w:pPr>
              <w:spacing w:before="0" w:after="0"/>
              <w:jc w:val="center"/>
            </w:pPr>
            <w:r>
              <w:drawing>
                <wp:inline xmlns:a="http://schemas.openxmlformats.org/drawingml/2006/main" xmlns:pic="http://schemas.openxmlformats.org/drawingml/2006/picture">
                  <wp:extent cx="576000" cy="583292"/>
                  <wp:docPr id="1134776113" name="Picture 1134776113"/>
                  <wp:cNvGraphicFramePr>
                    <a:graphicFrameLocks noChangeAspect="1"/>
                  </wp:cNvGraphicFramePr>
                  <a:graphic>
                    <a:graphicData uri="http://schemas.openxmlformats.org/drawingml/2006/picture">
                      <pic:pic>
                        <pic:nvPicPr>
                          <pic:cNvPr id="0" name="unisba.png"/>
                          <pic:cNvPicPr/>
                        </pic:nvPicPr>
                        <pic:blipFill>
                          <a:blip r:embed="rId33"/>
                          <a:stretch>
                            <a:fillRect/>
                          </a:stretch>
                        </pic:blipFill>
                        <pic:spPr>
                          <a:xfrm>
                            <a:off x="0" y="0"/>
                            <a:ext cx="576000" cy="583292"/>
                          </a:xfrm>
                          <a:prstGeom prst="rect"/>
                        </pic:spPr>
                      </pic:pic>
                    </a:graphicData>
                  </a:graphic>
                </wp:inline>
              </w:drawing>
            </w:r>
          </w:p>
        </w:tc>
      </w:tr>
    </w:tbl>
    <w:p>
      <w:pPr>
        <w:spacing w:before="280" w:after="120" w:line="276" w:lineRule="auto"/>
        <w:jc w:val="center"/>
      </w:pPr>
      <w:r>
        <w:rPr>
          <w:rFonts w:ascii="Times New Roman" w:hAnsi="Times New Roman"/>
          <w:b/>
          <w:sz w:val="28"/>
        </w:rPr>
        <w:t>PENGEMBANGAN DAN EVALUASI KINERJA SISTEM DONASI TERDESENTRALISASI DENGAN AGREGASI HOMOMORFIK PAILLIER DAN ZK-SNARK</w:t>
      </w:r>
    </w:p>
    <w:p>
      <w:pPr>
        <w:spacing w:before="120" w:after="40" w:line="276" w:lineRule="auto"/>
        <w:jc w:val="center"/>
      </w:pPr>
      <w:r>
        <w:rPr>
          <w:rFonts w:ascii="Times New Roman" w:hAnsi="Times New Roman"/>
          <w:b/>
          <w:sz w:val="20"/>
        </w:rPr>
        <w:t>Dimas Aditya</w:t>
      </w:r>
      <w:r>
        <w:rPr>
          <w:rFonts w:ascii="Times New Roman" w:hAnsi="Times New Roman"/>
          <w:sz w:val="20"/>
          <w:vertAlign w:val="superscript"/>
        </w:rPr>
        <w:t>1</w:t>
      </w:r>
      <w:r>
        <w:rPr>
          <w:rFonts w:ascii="Times New Roman" w:hAnsi="Times New Roman"/>
          <w:b/>
          <w:sz w:val="20"/>
        </w:rPr>
        <w:t xml:space="preserve">, </w:t>
      </w:r>
      <w:r>
        <w:rPr>
          <w:rFonts w:ascii="Times New Roman" w:hAnsi="Times New Roman"/>
          <w:b/>
          <w:sz w:val="20"/>
        </w:rPr>
        <w:t>Tim Peneliti TrustGive</w:t>
      </w:r>
      <w:r>
        <w:rPr>
          <w:rFonts w:ascii="Times New Roman" w:hAnsi="Times New Roman"/>
          <w:sz w:val="20"/>
          <w:vertAlign w:val="superscript"/>
        </w:rPr>
        <w:t>2</w:t>
      </w:r>
    </w:p>
    <w:p>
      <w:pPr>
        <w:spacing w:before="0" w:after="20" w:line="276" w:lineRule="auto"/>
        <w:jc w:val="center"/>
      </w:pPr>
      <w:r>
        <w:rPr>
          <w:rFonts w:ascii="Times New Roman" w:hAnsi="Times New Roman"/>
          <w:sz w:val="20"/>
        </w:rPr>
        <w:t>1Program Studi Teknik Informatika, Fakultas Teknik, Universitas Islam Bandung, Bandung, Indonesia</w:t>
      </w:r>
    </w:p>
    <w:p>
      <w:pPr>
        <w:spacing w:before="0" w:after="20" w:line="276" w:lineRule="auto"/>
        <w:jc w:val="center"/>
      </w:pPr>
      <w:r>
        <w:rPr>
          <w:rFonts w:ascii="Times New Roman" w:hAnsi="Times New Roman"/>
          <w:sz w:val="20"/>
        </w:rPr>
        <w:t>2Pusat Studi Rekayasa Perangkat Lunak dan Keamanan Siber, Universitas Islam Bandung, Bandung, Indonesia</w:t>
      </w:r>
    </w:p>
    <w:p>
      <w:pPr>
        <w:spacing w:before="0" w:after="200" w:line="276" w:lineRule="auto"/>
        <w:jc w:val="center"/>
      </w:pPr>
      <w:r>
        <w:rPr>
          <w:rFonts w:ascii="Times New Roman" w:hAnsi="Times New Roman"/>
          <w:sz w:val="20"/>
        </w:rPr>
        <w:t>Email: dimas.aditya@unisba.ac.id1, research@unisba.ac.id2</w:t>
      </w:r>
    </w:p>
    <w:p>
      <w:pPr>
        <w:spacing w:before="120" w:after="40" w:line="240" w:lineRule="auto"/>
        <w:jc w:val="center"/>
      </w:pPr>
      <w:r>
        <w:rPr>
          <w:rFonts w:ascii="Times New Roman" w:hAnsi="Times New Roman"/>
          <w:b/>
          <w:i/>
          <w:sz w:val="22"/>
        </w:rPr>
        <w:t>ABSTRACT</w:t>
      </w:r>
    </w:p>
    <w:p>
      <w:pPr>
        <w:spacing w:before="0" w:after="60" w:line="240" w:lineRule="auto"/>
        <w:ind w:left="425" w:right="147"/>
        <w:jc w:val="both"/>
      </w:pPr>
      <w:r>
        <w:rPr>
          <w:rFonts w:ascii="Times New Roman" w:hAnsi="Times New Roman"/>
          <w:i/>
          <w:sz w:val="20"/>
        </w:rPr>
        <w:t>Public philanthropic platforms often struggle with a fundamental tension between transparent accountability and donors' financial privacy. While public blockchains offer immutable and verifiable records of transactions, publishing financial data directly to an open ledger exposes sensitive donor information to surveillance and deanonymization. Conversely, centralized privacy solutions rely on trusted intermediaries that reintroduce single points of failure and risks of financial manipulation. This study presents the design, development, and empirical performance evaluation of TrustGive, a decentralized hybrid donation system that resolves this tension by combining Paillier Additive Homomorphic Encryption (AHE), Groth16 Zero-Knowledge Succinct Non-Interactive Arguments of Knowledge (zk-SNARK), and Ethereum Virtual Machine (EVM) smart contracts. In the proposed system, individual donation amounts are encrypted using the Paillier cryptosystem and aggregated off-chain using modular multiplication, while the validity of each donation—specifically that the donation is strictly positive and within the campaign threshold—is verified on-chain via a zero-knowledge range proof constructed using Circom over the BN254 elliptic curve without disclosing plaintext amounts. Empirical benchmarks on a local EVM testbed demonstrate that the Groth16 on-chain verification consumes an average of 243,518 gas, while off-chain homomorphic addition requires merely 0.015 ms per transaction. Furthermore, the dual-write idempotency mechanism successfully guarantees zero duplicate records during high-concurrency race conditions. This paper also critically analyzes system limitations, providing architectural blueprints for future proof-to-ciphertext binding and threshold decryption protocols.</w:t>
      </w:r>
    </w:p>
    <w:p>
      <w:pPr>
        <w:spacing w:before="40" w:after="160" w:line="240" w:lineRule="auto"/>
        <w:ind w:left="425" w:right="147"/>
        <w:jc w:val="both"/>
      </w:pPr>
      <w:r>
        <w:rPr>
          <w:rFonts w:ascii="Times New Roman" w:hAnsi="Times New Roman"/>
          <w:b/>
          <w:i/>
          <w:sz w:val="20"/>
        </w:rPr>
        <w:t xml:space="preserve">Keywords: </w:t>
      </w:r>
      <w:r>
        <w:rPr>
          <w:rFonts w:ascii="Times New Roman" w:hAnsi="Times New Roman"/>
          <w:i/>
          <w:sz w:val="20"/>
        </w:rPr>
        <w:t>Decentralized Donation, Paillier Homomorphic Encryption, zk-SNARK, Groth16, Smart Contract, Blockchain Privacy.</w:t>
      </w:r>
    </w:p>
    <w:p>
      <w:pPr>
        <w:spacing w:before="120" w:after="40" w:line="240" w:lineRule="auto"/>
        <w:jc w:val="center"/>
      </w:pPr>
      <w:r>
        <w:rPr>
          <w:rFonts w:ascii="Times New Roman" w:hAnsi="Times New Roman"/>
          <w:b/>
          <w:sz w:val="22"/>
        </w:rPr>
        <w:t>ABSTRAK</w:t>
      </w:r>
    </w:p>
    <w:p>
      <w:pPr>
        <w:spacing w:before="0" w:after="60" w:line="240" w:lineRule="auto"/>
        <w:ind w:left="425" w:right="147"/>
        <w:jc w:val="both"/>
      </w:pPr>
      <w:r>
        <w:rPr>
          <w:rFonts w:ascii="Times New Roman" w:hAnsi="Times New Roman"/>
          <w:sz w:val="20"/>
        </w:rPr>
        <w:t>Platform filantropi dan penggalangan dana digital menghadapi dilema mendasar antara tuntutan akuntabilitas publik dan perlindungan privasi finansial donatur. Buku besar terdistribusi publik (public blockchain) mampu menyediakan audit transaksi yang transparan dan tidak dapat dimanipulasi, namun memublikasikan nominal donasi secara telanjang ke buku besar terbuka membuka celah pengawasan massal dan deanonimisasi donatur. Di sisi lain, sistem donasi tertutup bergantung pada pihak perantara terpusat yang rentan terhadap manipulasi laporan keuangan. Penelitian ini mengembangkan dan mengevaluasi kinerja TrustGive, sebuah sistem donasi terdesentralisasi hibrida yang memadukan kriptosistem Additive Homomorphic Encryption (AHE) Paillier, protokol pembuktian tanpa pengetahuan Zero-Knowledge Succinct Non-Interactive Arguments of Knowledge (zk-SNARK) Groth16, dan kontrak pintar pada Ethereum Virtual Machine (EVM). Melalui arsitektur ini, nominal donasi individual dienkripsi menggunakan Paillier dan diakumulasikan secara homomorfik tanpa pernah didekripsi selama kampanye berjalan. Integritas dan keabsahan rentang nominal (nominal positif dan tidak melampaui batas maksimum kampanye) dibuktikan melalui sirkuit aritmetika Circom berbasis kurva eliptik BN254 dan diverifikasi secara instan pada kontrak pintar on-chain tanpa mengekspos nominal plaintext. Pengujian empiris pada lingkungan EVM lokal menunjukkan bahwa transaksi pencatatan donasi beserta verifikasi bukti Groth16 membutuhkan rata-rata 243.518 gas, sedangkan agregasi homomorfik Paillier off-chain hanya memerlukan waktu 0,015 ms per donasi. Mekanisme idempotensi transaksi dual-write terbukti efektif mencegah anomali pencatatan ganda pada kondisi konkurensi tinggi. Penelitian ini juga memetakan batasan batas privasi sistem saat ini dan menguraikan peta jalan pengikatan kriptografis antara bukti ZK dan ciphertext (proof-to-ciphertext binding).</w:t>
      </w:r>
    </w:p>
    <w:p>
      <w:pPr>
        <w:spacing w:before="40" w:after="160" w:line="240" w:lineRule="auto"/>
        <w:ind w:left="425" w:right="147"/>
        <w:jc w:val="both"/>
      </w:pPr>
      <w:r>
        <w:rPr>
          <w:rFonts w:ascii="Times New Roman" w:hAnsi="Times New Roman"/>
          <w:b/>
          <w:sz w:val="20"/>
        </w:rPr>
        <w:t xml:space="preserve">Kata kunci: </w:t>
      </w:r>
      <w:r>
        <w:rPr>
          <w:rFonts w:ascii="Times New Roman" w:hAnsi="Times New Roman"/>
          <w:sz w:val="20"/>
        </w:rPr>
        <w:t>Donasi Terdesentralisasi, Enkripsi Homomorfik Paillier, zk-SNARK, Groth16, Kontrak Pintar, Privasi Blockchain.</w:t>
      </w:r>
    </w:p>
    <w:p>
      <w:pPr>
        <w:spacing w:before="180" w:after="40" w:line="276" w:lineRule="auto"/>
        <w:jc w:val="left"/>
      </w:pPr>
      <w:r>
        <w:rPr>
          <w:rFonts w:ascii="Times New Roman" w:hAnsi="Times New Roman"/>
          <w:b/>
          <w:sz w:val="24"/>
        </w:rPr>
        <w:t>PENDAHULUAN</w:t>
      </w:r>
    </w:p>
    <w:p>
      <w:pPr>
        <w:spacing w:before="136" w:after="0" w:line="360" w:lineRule="auto"/>
        <w:ind w:firstLine="567"/>
        <w:jc w:val="both"/>
      </w:pPr>
      <w:r>
        <w:rPr>
          <w:rFonts w:ascii="Times New Roman" w:hAnsi="Times New Roman"/>
          <w:sz w:val="24"/>
        </w:rPr>
        <w:t>Aktivitas filantropi dan penggalangan dana publik (</w:t>
      </w:r>
      <w:r>
        <w:rPr>
          <w:rFonts w:ascii="Times New Roman" w:hAnsi="Times New Roman"/>
          <w:i/>
          <w:sz w:val="24"/>
        </w:rPr>
        <w:t>crowdfunding</w:t>
      </w:r>
      <w:r>
        <w:rPr>
          <w:rFonts w:ascii="Times New Roman" w:hAnsi="Times New Roman"/>
          <w:sz w:val="24"/>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sz w:val="24"/>
        </w:rPr>
        <w:t>trust deficit</w:t>
      </w:r>
      <w:r>
        <w:rPr>
          <w:rFonts w:ascii="Times New Roman" w:hAnsi="Times New Roman"/>
          <w:sz w:val="24"/>
        </w:rPr>
        <w:t>) yang diakibatkan oleh kurangnya transparansi alokasi dana, tingginya biaya perantara administratif, serta risiko manipulasi pencatatan keuangan oleh pengelola platform terpusat (Nairi et al., 2024). Munculnya teknologi buku besar terdistribusi (</w:t>
      </w:r>
      <w:r>
        <w:rPr>
          <w:rFonts w:ascii="Times New Roman" w:hAnsi="Times New Roman"/>
          <w:i/>
          <w:sz w:val="24"/>
        </w:rPr>
        <w:t>distributed ledger technology</w:t>
      </w:r>
      <w:r>
        <w:rPr>
          <w:rFonts w:ascii="Times New Roman" w:hAnsi="Times New Roman"/>
          <w:sz w:val="24"/>
        </w:rPr>
        <w:t xml:space="preserve"> / blockchain) menawarkan paradigma baru dalam akuntabilitas donasi digital, di mana setiap transaksi dicatat secara permanen, dapat diaudit oleh siapa saja, dan dieksekusi secara otomatis oleh kontrak pintar (</w:t>
      </w:r>
      <w:r>
        <w:rPr>
          <w:rFonts w:ascii="Times New Roman" w:hAnsi="Times New Roman"/>
          <w:i/>
          <w:sz w:val="24"/>
        </w:rPr>
        <w:t>smart contracts</w:t>
      </w:r>
      <w:r>
        <w:rPr>
          <w:rFonts w:ascii="Times New Roman" w:hAnsi="Times New Roman"/>
          <w:sz w:val="24"/>
        </w:rPr>
        <w:t>) tanpa bergantung pada perantara terpusat (Almaghrabi &amp; Alhogail, 2022; Saraswat et al., 2022).</w:t>
      </w:r>
    </w:p>
    <w:p>
      <w:pPr>
        <w:spacing w:before="136" w:after="0" w:line="360" w:lineRule="auto"/>
        <w:ind w:firstLine="567"/>
        <w:jc w:val="both"/>
      </w:pPr>
      <w:r>
        <w:rPr>
          <w:rFonts w:ascii="Times New Roman" w:hAnsi="Times New Roman"/>
          <w:sz w:val="24"/>
        </w:rPr>
        <w:t>Namun demikian, transparansi absolut yang inheren pada jaringan blockchain publik memicu paradoks privasi yang signifikan. Setiap transaksi finansial yang dipublikasikan secara telanjang (</w:t>
      </w:r>
      <w:r>
        <w:rPr>
          <w:rFonts w:ascii="Times New Roman" w:hAnsi="Times New Roman"/>
          <w:i/>
          <w:sz w:val="24"/>
        </w:rPr>
        <w:t>plaintext</w:t>
      </w:r>
      <w:r>
        <w:rPr>
          <w:rFonts w:ascii="Times New Roman" w:hAnsi="Times New Roman"/>
          <w:sz w:val="24"/>
        </w:rPr>
        <w:t>) ke dalam buku besar publik memungkinkan pihak ketiga yang berniat jahat melakukan analisis lalu lintas transaksi, penelusuran identitas (</w:t>
      </w:r>
      <w:r>
        <w:rPr>
          <w:rFonts w:ascii="Times New Roman" w:hAnsi="Times New Roman"/>
          <w:i/>
          <w:sz w:val="24"/>
        </w:rPr>
        <w:t>deanonymization</w:t>
      </w:r>
      <w:r>
        <w:rPr>
          <w:rFonts w:ascii="Times New Roman" w:hAnsi="Times New Roman"/>
          <w:sz w:val="24"/>
        </w:rPr>
        <w:t xml:space="preserve">), hingga profiling status kekayaan donatur secara tidak etis (Bünz et al., 2020). Donatur yang menyumbangkan dana dalam nominal besar rentan menjadi target eksploitasi finansial dan kejahatan siber, sementara donatur yang menyumbang dalam jumlah kecil dapat merasa terintimidasi secara psikologis atau enggan berpartisipasi akibat stigma sosial (Zhou et al., 2024). Di samping itu, regulasi perlindungan data pribadi global seperti </w:t>
      </w:r>
      <w:r>
        <w:rPr>
          <w:rFonts w:ascii="Times New Roman" w:hAnsi="Times New Roman"/>
          <w:i/>
          <w:sz w:val="24"/>
        </w:rPr>
        <w:t>General Data Protection Regulation</w:t>
      </w:r>
      <w:r>
        <w:rPr>
          <w:rFonts w:ascii="Times New Roman" w:hAnsi="Times New Roman"/>
          <w:sz w:val="24"/>
        </w:rPr>
        <w:t xml:space="preserve"> (GDPR) secara tegas menuntut prinsip minimisasi data finansial dan hak privasi pengguna (Babel &amp; Sedlmeir, 2023). Akibatnya, sistem donasi masa depan dituntut untuk mampu menyelaraskan dua tujuan yang tampak bertentangan: menjamin verifikasi integritas audit publik, sembari merahasiakan nominal donasi individual dari pengamatan publik.</w:t>
      </w:r>
    </w:p>
    <w:p>
      <w:pPr>
        <w:spacing w:before="136" w:after="0" w:line="360" w:lineRule="auto"/>
        <w:ind w:firstLine="567"/>
        <w:jc w:val="both"/>
      </w:pPr>
      <w:r>
        <w:rPr>
          <w:rFonts w:ascii="Times New Roman" w:hAnsi="Times New Roman"/>
          <w:sz w:val="24"/>
        </w:rPr>
        <w:t>Untuk mengatasi dilema privasi tersebut, beberapa peneliti mengajukan pemanfaatan teknik kriptografi lanjutan seperti enkripsi homomorfik (</w:t>
      </w:r>
      <w:r>
        <w:rPr>
          <w:rFonts w:ascii="Times New Roman" w:hAnsi="Times New Roman"/>
          <w:i/>
          <w:sz w:val="24"/>
        </w:rPr>
        <w:t>Homomorphic Encryption</w:t>
      </w:r>
      <w:r>
        <w:rPr>
          <w:rFonts w:ascii="Times New Roman" w:hAnsi="Times New Roman"/>
          <w:sz w:val="24"/>
        </w:rPr>
        <w:t xml:space="preserve"> / HE) dan pembuktian tanpa pengetahuan (</w:t>
      </w:r>
      <w:r>
        <w:rPr>
          <w:rFonts w:ascii="Times New Roman" w:hAnsi="Times New Roman"/>
          <w:i/>
          <w:sz w:val="24"/>
        </w:rPr>
        <w:t>Zero-Knowledge Proofs</w:t>
      </w:r>
      <w:r>
        <w:rPr>
          <w:rFonts w:ascii="Times New Roman" w:hAnsi="Times New Roman"/>
          <w:sz w:val="24"/>
        </w:rPr>
        <w:t xml:space="preserve"> / ZKP) (Lavin et al., 2024; Sameera et al., 2024). Kriptosistem Paillier merupakan skema enkripsi asimetris yang memiliki sifat homomorfik aditif (</w:t>
      </w:r>
      <w:r>
        <w:rPr>
          <w:rFonts w:ascii="Times New Roman" w:hAnsi="Times New Roman"/>
          <w:i/>
          <w:sz w:val="24"/>
        </w:rPr>
        <w:t>Additive Homomorphic Encryption</w:t>
      </w:r>
      <w:r>
        <w:rPr>
          <w:rFonts w:ascii="Times New Roman" w:hAnsi="Times New Roman"/>
          <w:sz w:val="24"/>
        </w:rPr>
        <w:t xml:space="preserve"> / AHE), di mana perkalian antara dua </w:t>
      </w:r>
      <w:r>
        <w:rPr>
          <w:rFonts w:ascii="Times New Roman" w:hAnsi="Times New Roman"/>
          <w:i/>
          <w:sz w:val="24"/>
        </w:rPr>
        <w:t>ciphertext</w:t>
      </w:r>
      <w:r>
        <w:rPr>
          <w:rFonts w:ascii="Times New Roman" w:hAnsi="Times New Roman"/>
          <w:sz w:val="24"/>
        </w:rPr>
        <w:t xml:space="preserve"> pada ruang modulus n² secara matematis menghasilkan enkripsi dari penjumlahan nilai </w:t>
      </w:r>
      <w:r>
        <w:rPr>
          <w:rFonts w:ascii="Times New Roman" w:hAnsi="Times New Roman"/>
          <w:i/>
          <w:sz w:val="24"/>
        </w:rPr>
        <w:t>plaintext</w:t>
      </w:r>
      <w:r>
        <w:rPr>
          <w:rFonts w:ascii="Times New Roman" w:hAnsi="Times New Roman"/>
          <w:sz w:val="24"/>
        </w:rPr>
        <w:t>-nya tanpa perlu melakukan proses dekripsi (Yang et al., 2023; Damle et al., 2021). Sifat ini sangat ideal untuk menghitung akumulasi total donasi kampanye secara berkelanjutan tanpa membuka isi sumbangan masing-masing donatur. Di sisi lain, ZKP, khususnya protokol zk-SNARK Groth16, memungkinkan seseorang (prover) membuktikan secara matematis kepada pihak lain (verifier) bahwa suatu pernyataan matematis bernilai benar—seperti nominal donasi berakar pada bilangan positif dan berada dalam rentang pagu kampanye—tanpa mengungkapkan sedikit pun informasi rahasia mengenai nilai nominal tersebut (Groth, 2016; Christ et al., 2024).</w:t>
      </w:r>
    </w:p>
    <w:p>
      <w:pPr>
        <w:spacing w:before="136" w:after="0" w:line="360" w:lineRule="auto"/>
        <w:ind w:firstLine="567"/>
        <w:jc w:val="both"/>
      </w:pPr>
      <w:r>
        <w:rPr>
          <w:rFonts w:ascii="Times New Roman" w:hAnsi="Times New Roman"/>
          <w:sz w:val="24"/>
        </w:rPr>
        <w:t>Kombinasi antara HE dan zk-SNARK pada kontrak pintar telah dieksplorasi secara teoretis dalam beberapa literatur mutakhir, seperti protokol ZeeStar (Steffen et al., 2022) dan Cloak (Ren et al., 2021). Kendati demikian, implementasi praktis sistem donasi terdesentralisasi yang mengintegrasikan kedua teknik ini pada arsitektur perangkat lunak dunia nyata menghadapi tantangan teknis yang berat. Melakukan seluruh proses pembuktian dan agregasi di atas jaringan blockchain (</w:t>
      </w:r>
      <w:r>
        <w:rPr>
          <w:rFonts w:ascii="Times New Roman" w:hAnsi="Times New Roman"/>
          <w:i/>
          <w:sz w:val="24"/>
        </w:rPr>
        <w:t>fully on-chain</w:t>
      </w:r>
      <w:r>
        <w:rPr>
          <w:rFonts w:ascii="Times New Roman" w:hAnsi="Times New Roman"/>
          <w:sz w:val="24"/>
        </w:rPr>
        <w:t>) menimbulkan konsumsi gas EVM yang sangat boros dan waktu latensi komputasi yang tidak realistis bagi pengguna akhir (Habib Nayan, 2025; Quintero-Narvaez et al., 2023). Sebaliknya, memindahkan seluruh beban komputasi ke server off-chain menimbulkan kerentanan arsitektural berupa kegagalan konsistensi data (</w:t>
      </w:r>
      <w:r>
        <w:rPr>
          <w:rFonts w:ascii="Times New Roman" w:hAnsi="Times New Roman"/>
          <w:i/>
          <w:sz w:val="24"/>
        </w:rPr>
        <w:t>state inconsistency</w:t>
      </w:r>
      <w:r>
        <w:rPr>
          <w:rFonts w:ascii="Times New Roman" w:hAnsi="Times New Roman"/>
          <w:sz w:val="24"/>
        </w:rPr>
        <w:t>) antara basis data relasional dan status transaksi blockchain saat terjadi gangguan jaringan (</w:t>
      </w:r>
      <w:r>
        <w:rPr>
          <w:rFonts w:ascii="Times New Roman" w:hAnsi="Times New Roman"/>
          <w:i/>
          <w:sz w:val="24"/>
        </w:rPr>
        <w:t>RPC timeout</w:t>
      </w:r>
      <w:r>
        <w:rPr>
          <w:rFonts w:ascii="Times New Roman" w:hAnsi="Times New Roman"/>
          <w:sz w:val="24"/>
        </w:rPr>
        <w:t xml:space="preserve"> atau kegagalan transaksi </w:t>
      </w:r>
      <w:r>
        <w:rPr>
          <w:rFonts w:ascii="Times New Roman" w:hAnsi="Times New Roman"/>
          <w:i/>
          <w:sz w:val="24"/>
        </w:rPr>
        <w:t>dual-write</w:t>
      </w:r>
      <w:r>
        <w:rPr>
          <w:rFonts w:ascii="Times New Roman" w:hAnsi="Times New Roman"/>
          <w:sz w:val="24"/>
        </w:rPr>
        <w:t>) (Dewangan &amp; Msahli, 2026). Selain itu, celah keamanan pada sirkuit ZK yang kurang terkendala (</w:t>
      </w:r>
      <w:r>
        <w:rPr>
          <w:rFonts w:ascii="Times New Roman" w:hAnsi="Times New Roman"/>
          <w:i/>
          <w:sz w:val="24"/>
        </w:rPr>
        <w:t>under-constrained circuits</w:t>
      </w:r>
      <w:r>
        <w:rPr>
          <w:rFonts w:ascii="Times New Roman" w:hAnsi="Times New Roman"/>
          <w:sz w:val="24"/>
        </w:rPr>
        <w:t>) dapat memungkinkan penyerang memasukkan komitmen palsu atau mengalokasikan nilai di luar batasan sistem (Chaliasos et al., 2024).</w:t>
      </w:r>
    </w:p>
    <w:p>
      <w:pPr>
        <w:spacing w:before="136" w:after="0" w:line="360" w:lineRule="auto"/>
        <w:ind w:firstLine="567"/>
        <w:jc w:val="both"/>
      </w:pPr>
      <w:r>
        <w:rPr>
          <w:rFonts w:ascii="Times New Roman" w:hAnsi="Times New Roman"/>
          <w:sz w:val="24"/>
        </w:rPr>
        <w:t xml:space="preserve">Penelitian ini bertujuan untuk merancang, mengimplementasikan, dan mengevaluasi kinerja sistem donasi terdesentralisasi hibrida bernama </w:t>
      </w:r>
      <w:r>
        <w:rPr>
          <w:rFonts w:ascii="Times New Roman" w:hAnsi="Times New Roman"/>
          <w:b/>
          <w:sz w:val="24"/>
        </w:rPr>
        <w:t>TrustGive</w:t>
      </w:r>
      <w:r>
        <w:rPr>
          <w:rFonts w:ascii="Times New Roman" w:hAnsi="Times New Roman"/>
          <w:sz w:val="24"/>
        </w:rPr>
        <w:t>. Kontribusi utama penelitian ini berfokus pada dua aspek: (1) rancang bangun arsitektur hibrida 3-layer yang membagi beban komputasi secara proporsional antara backend Go berkinerja tinggi, basis data PostgreSQL dengan mekanisme idempotensi transaksi, mesin kriptografi Paillier AHE, sirkuit aritmetika Circom BN254 Groth16, dan kontrak pintar Solidity pada Ethereum Virtual Machine (EVM); serta (2) evaluasi performa empiris yang komprehensif, mencakup analisis profil konsumsi gas on-chain, waktu komputasi kriptografis off-chain, uji ketahanan reliabilitas terhadap kegagalan transaksi, dan analisis keterbatasan batas privasi serta peta jalan kriptografi lanjutan (</w:t>
      </w:r>
      <w:r>
        <w:rPr>
          <w:rFonts w:ascii="Times New Roman" w:hAnsi="Times New Roman"/>
          <w:i/>
          <w:sz w:val="24"/>
        </w:rPr>
        <w:t>proof-to-ciphertext binding</w:t>
      </w:r>
      <w:r>
        <w:rPr>
          <w:rFonts w:ascii="Times New Roman" w:hAnsi="Times New Roman"/>
          <w:sz w:val="24"/>
        </w:rPr>
        <w:t>).</w:t>
      </w:r>
    </w:p>
    <w:p>
      <w:pPr>
        <w:spacing w:before="180" w:after="40" w:line="276" w:lineRule="auto"/>
        <w:jc w:val="left"/>
      </w:pPr>
      <w:r>
        <w:rPr>
          <w:rFonts w:ascii="Times New Roman" w:hAnsi="Times New Roman"/>
          <w:b/>
          <w:sz w:val="24"/>
        </w:rPr>
        <w:t>METODE PENELITIAN</w:t>
      </w:r>
    </w:p>
    <w:p>
      <w:pPr>
        <w:spacing w:before="136" w:after="0" w:line="360" w:lineRule="auto"/>
        <w:ind w:firstLine="567"/>
        <w:jc w:val="both"/>
      </w:pPr>
      <w:r>
        <w:rPr>
          <w:rFonts w:ascii="Times New Roman" w:hAnsi="Times New Roman"/>
          <w:sz w:val="24"/>
        </w:rPr>
        <w:t>Penelitian ini dilaksanakan menggunakan metode rekayasa perangkat lunak eksperimental (</w:t>
      </w:r>
      <w:r>
        <w:rPr>
          <w:rFonts w:ascii="Times New Roman" w:hAnsi="Times New Roman"/>
          <w:i/>
          <w:sz w:val="24"/>
        </w:rPr>
        <w:t>experimental systems engineering</w:t>
      </w:r>
      <w:r>
        <w:rPr>
          <w:rFonts w:ascii="Times New Roman" w:hAnsi="Times New Roman"/>
          <w:sz w:val="24"/>
        </w:rPr>
        <w:t>) yang terstruktur dalam lima tahapan utama: perancangan arsitektur hibrida, perancangan skema agregasi homomorfik Paillier, perancangan sirkuit ZK-SNARK Groth16, perancangan kontrak pintar EVM, serta perancangan mekanisme reliabilitas dan metodologi pengujian empiris.</w:t>
      </w:r>
    </w:p>
    <w:p>
      <w:pPr>
        <w:spacing w:before="140" w:after="40" w:line="360" w:lineRule="auto"/>
        <w:jc w:val="left"/>
      </w:pPr>
      <w:r>
        <w:rPr>
          <w:rFonts w:ascii="Times New Roman" w:hAnsi="Times New Roman"/>
          <w:b/>
          <w:sz w:val="24"/>
        </w:rPr>
        <w:t>1. Perancangan Arsitektur Hibrida Sistem</w:t>
      </w:r>
    </w:p>
    <w:p>
      <w:pPr>
        <w:spacing w:before="136" w:after="0" w:line="360" w:lineRule="auto"/>
        <w:ind w:firstLine="567"/>
        <w:jc w:val="both"/>
      </w:pPr>
      <w:r>
        <w:rPr>
          <w:rFonts w:ascii="Times New Roman" w:hAnsi="Times New Roman"/>
          <w:sz w:val="24"/>
        </w:rPr>
        <w:t>Untuk mengatasi keterbatasan skalabilitas komputasi pada blockchain publik, TrustGive dirancang dengan pendekatan arsitektur hibrida (</w:t>
      </w:r>
      <w:r>
        <w:rPr>
          <w:rFonts w:ascii="Times New Roman" w:hAnsi="Times New Roman"/>
          <w:i/>
          <w:sz w:val="24"/>
        </w:rPr>
        <w:t>hybrid off-chain/on-chain architecture</w:t>
      </w:r>
      <w:r>
        <w:rPr>
          <w:rFonts w:ascii="Times New Roman" w:hAnsi="Times New Roman"/>
          <w:sz w:val="24"/>
        </w:rPr>
        <w:t>) yang memisahkan ranah komputasi intensif dari ranah konsensus permanen. Gambar 1 mengilustrasikan diagram blok arsitektur sistem TrustGive yang terbagi ke dalam tiga layer utama.</w:t>
      </w:r>
    </w:p>
    <w:p>
      <w:pPr>
        <w:spacing w:before="120" w:after="40"/>
        <w:jc w:val="center"/>
      </w:pPr>
      <w:r>
        <w:drawing>
          <wp:inline xmlns:a="http://schemas.openxmlformats.org/drawingml/2006/main" xmlns:pic="http://schemas.openxmlformats.org/drawingml/2006/picture">
            <wp:extent cx="5220000" cy="2616658"/>
            <wp:docPr id="1134776114" name="Picture 1134776114"/>
            <wp:cNvGraphicFramePr>
              <a:graphicFrameLocks noChangeAspect="1"/>
            </wp:cNvGraphicFramePr>
            <a:graphic>
              <a:graphicData uri="http://schemas.openxmlformats.org/drawingml/2006/picture">
                <pic:pic>
                  <pic:nvPicPr>
                    <pic:cNvPr id="0" name="gambar1_arsitektur_sistem.png"/>
                    <pic:cNvPicPr/>
                  </pic:nvPicPr>
                  <pic:blipFill>
                    <a:blip r:embed="rId34"/>
                    <a:stretch>
                      <a:fillRect/>
                    </a:stretch>
                  </pic:blipFill>
                  <pic:spPr>
                    <a:xfrm>
                      <a:off x="0" y="0"/>
                      <a:ext cx="5220000" cy="2616658"/>
                    </a:xfrm>
                    <a:prstGeom prst="rect"/>
                  </pic:spPr>
                </pic:pic>
              </a:graphicData>
            </a:graphic>
          </wp:inline>
        </w:drawing>
      </w:r>
    </w:p>
    <w:p>
      <w:pPr>
        <w:spacing w:before="40" w:after="120" w:line="240" w:lineRule="auto"/>
        <w:jc w:val="center"/>
      </w:pPr>
      <w:r>
        <w:rPr>
          <w:rFonts w:ascii="Times New Roman" w:hAnsi="Times New Roman"/>
          <w:b/>
          <w:sz w:val="24"/>
        </w:rPr>
        <w:t>Gambar 1. Arsitektur Hibrida Sistem Donasi Terdesentralisasi TrustGive</w:t>
      </w:r>
    </w:p>
    <w:p>
      <w:pPr>
        <w:spacing w:before="136" w:after="0" w:line="360" w:lineRule="auto"/>
        <w:ind w:firstLine="567"/>
        <w:jc w:val="both"/>
      </w:pPr>
      <w:r>
        <w:rPr>
          <w:rFonts w:ascii="Times New Roman" w:hAnsi="Times New Roman"/>
          <w:sz w:val="24"/>
        </w:rPr>
        <w:t>Rincian tanggung jawab dan batas kepercayaan (</w:t>
      </w:r>
      <w:r>
        <w:rPr>
          <w:rFonts w:ascii="Times New Roman" w:hAnsi="Times New Roman"/>
          <w:i/>
          <w:sz w:val="24"/>
        </w:rPr>
        <w:t>trust boundaries</w:t>
      </w:r>
      <w:r>
        <w:rPr>
          <w:rFonts w:ascii="Times New Roman" w:hAnsi="Times New Roman"/>
          <w:sz w:val="24"/>
        </w:rPr>
        <w:t>) pada ketiga layer tersebut adalah sebagai berikut:</w:t>
        <w:br/>
        <w:t xml:space="preserve">a. </w:t>
      </w:r>
      <w:r>
        <w:rPr>
          <w:rFonts w:ascii="Times New Roman" w:hAnsi="Times New Roman"/>
          <w:b/>
          <w:sz w:val="24"/>
        </w:rPr>
        <w:t>Layer Klien dan Presentasi (*Client Presentation Layer*):</w:t>
      </w:r>
      <w:r>
        <w:rPr>
          <w:rFonts w:ascii="Times New Roman" w:hAnsi="Times New Roman"/>
          <w:sz w:val="24"/>
        </w:rPr>
        <w:t xml:space="preserve"> Klien berinteraksi dengan sistem melalui antarmuka web modern berbasis Vite React atau API client. Klien mengirimkan permintaan donasi yang memuat parameter nominal, </w:t>
      </w:r>
      <w:r>
        <w:rPr>
          <w:rFonts w:ascii="Times New Roman" w:hAnsi="Times New Roman"/>
          <w:i/>
          <w:sz w:val="24"/>
        </w:rPr>
        <w:t>blinding factor</w:t>
      </w:r>
      <w:r>
        <w:rPr>
          <w:rFonts w:ascii="Times New Roman" w:hAnsi="Times New Roman"/>
          <w:sz w:val="24"/>
        </w:rPr>
        <w:t>, dan header unik `Idempotency-Key` untuk menjamin bahwa permintaan yang terulang tidak menimbulkan transaksi duplikat.</w:t>
        <w:br/>
        <w:t xml:space="preserve">b. </w:t>
      </w:r>
      <w:r>
        <w:rPr>
          <w:rFonts w:ascii="Times New Roman" w:hAnsi="Times New Roman"/>
          <w:b/>
          <w:sz w:val="24"/>
        </w:rPr>
        <w:t>Layer Backend dan Mesin Kriptografi (*Backend &amp; Cryptographic Engine Layer*):</w:t>
      </w:r>
      <w:r>
        <w:rPr>
          <w:rFonts w:ascii="Times New Roman" w:hAnsi="Times New Roman"/>
          <w:sz w:val="24"/>
        </w:rPr>
        <w:t xml:space="preserve"> Dibangun menggunakan bahasa pemrograman Go (Gin Web Framework) untuk menyediakan konkurensi tinggi dan latensi rendah. Layer ini mengelola basis data PostgreSQL untuk menyimpan metadata kampanye, status donasi, dan jejak audit. Mesin kriptografi terbagi menjadi dua sub-komponen: (1) </w:t>
      </w:r>
      <w:r>
        <w:rPr>
          <w:rFonts w:ascii="Times New Roman" w:hAnsi="Times New Roman"/>
          <w:i/>
          <w:sz w:val="24"/>
        </w:rPr>
        <w:t>Paillier Engine</w:t>
      </w:r>
      <w:r>
        <w:rPr>
          <w:rFonts w:ascii="Times New Roman" w:hAnsi="Times New Roman"/>
          <w:sz w:val="24"/>
        </w:rPr>
        <w:t xml:space="preserve"> untuk mengenkripsi nominal donasi individual dan mengeksekusi akumulasi homomorfik; serta (2) </w:t>
      </w:r>
      <w:r>
        <w:rPr>
          <w:rFonts w:ascii="Times New Roman" w:hAnsi="Times New Roman"/>
          <w:i/>
          <w:sz w:val="24"/>
        </w:rPr>
        <w:t>Groth16 Verifier</w:t>
      </w:r>
      <w:r>
        <w:rPr>
          <w:rFonts w:ascii="Times New Roman" w:hAnsi="Times New Roman"/>
          <w:sz w:val="24"/>
        </w:rPr>
        <w:t xml:space="preserve"> off-chain untuk memvalidasi bukti ZK sebelum meneruskannya ke antrean transaksi on-chain.</w:t>
        <w:br/>
        <w:t xml:space="preserve">c. </w:t>
      </w:r>
      <w:r>
        <w:rPr>
          <w:rFonts w:ascii="Times New Roman" w:hAnsi="Times New Roman"/>
          <w:b/>
          <w:sz w:val="24"/>
        </w:rPr>
        <w:t>Layer Buku Besar Terdesentralisasi (*Blockchain EVM Layer*):</w:t>
      </w:r>
      <w:r>
        <w:rPr>
          <w:rFonts w:ascii="Times New Roman" w:hAnsi="Times New Roman"/>
          <w:sz w:val="24"/>
        </w:rPr>
        <w:t xml:space="preserve"> Berjalan di atas jaringan lokal Hardhat node yang kompatibel dengan protokol Ethereum Virtual Machine (EVM). Kontrak pintar `DonationRegistry.sol` berfungsi sebagai pencatat status permanen (</w:t>
      </w:r>
      <w:r>
        <w:rPr>
          <w:rFonts w:ascii="Times New Roman" w:hAnsi="Times New Roman"/>
          <w:i/>
          <w:sz w:val="24"/>
        </w:rPr>
        <w:t>immutable ledger</w:t>
      </w:r>
      <w:r>
        <w:rPr>
          <w:rFonts w:ascii="Times New Roman" w:hAnsi="Times New Roman"/>
          <w:sz w:val="24"/>
        </w:rPr>
        <w:t>) dan berinteraksi langsung dengan kontrak `Groth16Verifier.sol` untuk mengeksekusi verifikasi bukti matematika secara on-chain.</w:t>
      </w:r>
    </w:p>
    <w:p>
      <w:pPr>
        <w:spacing w:before="140" w:after="40" w:line="360" w:lineRule="auto"/>
        <w:jc w:val="left"/>
      </w:pPr>
      <w:r>
        <w:rPr>
          <w:rFonts w:ascii="Times New Roman" w:hAnsi="Times New Roman"/>
          <w:b/>
          <w:sz w:val="24"/>
        </w:rPr>
        <w:t>2. Perancangan Skema Kriptografi Homomorfik Paillier</w:t>
      </w:r>
    </w:p>
    <w:p>
      <w:pPr>
        <w:spacing w:before="136" w:after="0" w:line="360" w:lineRule="auto"/>
        <w:ind w:firstLine="567"/>
        <w:jc w:val="both"/>
      </w:pPr>
      <w:r>
        <w:rPr>
          <w:rFonts w:ascii="Times New Roman" w:hAnsi="Times New Roman"/>
          <w:sz w:val="24"/>
        </w:rPr>
        <w:t>Skema kriptosistem Paillier yang diimplementasikan pada TrustGive beroperasi pada ruang grup multiplikatif Z</w:t>
      </w:r>
      <w:r>
        <w:rPr>
          <w:rFonts w:ascii="Times New Roman" w:hAnsi="Times New Roman"/>
          <w:i/>
          <w:sz w:val="24"/>
        </w:rPr>
        <w:t>n² (Yang et al., 2023). Tahapan matematis pembangkitan kunci, enkripsi, dan agregasi homomorfik dirancang sebagai berikut:</w:t>
        <w:br/>
        <w:t xml:space="preserve">a. </w:t>
      </w:r>
      <w:r>
        <w:rPr>
          <w:rFonts w:ascii="Times New Roman" w:hAnsi="Times New Roman"/>
          <w:i/>
          <w:sz w:val="24"/>
        </w:rPr>
        <w:t>Pembangkitan Kunci (</w:t>
      </w:r>
      <w:r>
        <w:rPr>
          <w:rFonts w:ascii="Times New Roman" w:hAnsi="Times New Roman"/>
          <w:sz w:val="24"/>
        </w:rPr>
        <w:t>Key Generation</w:t>
      </w:r>
      <w:r>
        <w:rPr>
          <w:rFonts w:ascii="Times New Roman" w:hAnsi="Times New Roman"/>
          <w:i/>
          <w:sz w:val="24"/>
        </w:rPr>
        <w:t>):</w:t>
      </w:r>
      <w:r>
        <w:rPr>
          <w:rFonts w:ascii="Times New Roman" w:hAnsi="Times New Roman"/>
          <w:i/>
          <w:sz w:val="24"/>
        </w:rPr>
        <w:t xml:space="preserve"> Dipilih dua bilangan prima besar acak independen p dan q dengan panjang bit yang setara (|p| = |q| = 1024 bit untuk panjang kunci 2048 bit), sehingga memenuhi gcd(pq, (p-1)(q-1)) = 1. Modulus n dihitung sebagai n = p · q, dengan ruang modulus kuadrat n². Nilai karakteristik Carmichael dihitung melalui λ = lcm(p-1, q-1). Generator g dipilih bernilai efisien g = n + 1, dan pengali modular μ dihitung melalui invers modular fungsi L(u) = (u - 1)/n, menghasilkan pasangan Kunci Publik PK = (n, n², g) dan Kunci Privat SK = (λ, μ).</w:t>
        <w:br/>
        <w:t xml:space="preserve">b. </w:t>
      </w:r>
      <w:r>
        <w:rPr>
          <w:rFonts w:ascii="Times New Roman" w:hAnsi="Times New Roman"/>
          <w:i/>
          <w:sz w:val="24"/>
        </w:rPr>
        <w:t>Proses Enkripsi Nominal (</w:t>
      </w:r>
      <w:r>
        <w:rPr>
          <w:rFonts w:ascii="Times New Roman" w:hAnsi="Times New Roman"/>
          <w:sz w:val="24"/>
        </w:rPr>
        <w:t>Donation Encryption</w:t>
      </w:r>
      <w:r>
        <w:rPr>
          <w:rFonts w:ascii="Times New Roman" w:hAnsi="Times New Roman"/>
          <w:i/>
          <w:sz w:val="24"/>
        </w:rPr>
        <w:t>):</w:t>
      </w:r>
      <w:r>
        <w:rPr>
          <w:rFonts w:ascii="Times New Roman" w:hAnsi="Times New Roman"/>
          <w:i/>
          <w:sz w:val="24"/>
        </w:rPr>
        <w:t xml:space="preserve"> Setiap nominal donasi m dienkripsi menggunakan Kunci Publik PK dengan membangkitkan nilai acak koprima r: c = (g^m · r^n) mod n². Keberadaan faktor pengacak r^n menjamin sifat keamanan semantik probabilistik (IND-CPA), di mana dua nominal identik menghasilkan ciphertext yang sama sekali berbeda.</w:t>
        <w:br/>
        <w:t xml:space="preserve">c. </w:t>
      </w:r>
      <w:r>
        <w:rPr>
          <w:rFonts w:ascii="Times New Roman" w:hAnsi="Times New Roman"/>
          <w:i/>
          <w:sz w:val="24"/>
        </w:rPr>
        <w:t>Akumulasi Homomorfik (</w:t>
      </w:r>
      <w:r>
        <w:rPr>
          <w:rFonts w:ascii="Times New Roman" w:hAnsi="Times New Roman"/>
          <w:sz w:val="24"/>
        </w:rPr>
        <w:t>Additive Homomorphic Aggregation</w:t>
      </w:r>
      <w:r>
        <w:rPr>
          <w:rFonts w:ascii="Times New Roman" w:hAnsi="Times New Roman"/>
          <w:i/>
          <w:sz w:val="24"/>
        </w:rPr>
        <w:t>):</w:t>
      </w:r>
      <w:r>
        <w:rPr>
          <w:rFonts w:ascii="Times New Roman" w:hAnsi="Times New Roman"/>
          <w:sz w:val="24"/>
        </w:rPr>
        <w:t>* Untuk menghitung total saldo kampanye yang menerima k donasi, sistem mengeksekusi perkalian modular terhadap seluruh ciphertext terkonfirmasi: c_aggregate = (c1 · c2 · ... · ck) mod n². Dekripsi terhadap c_aggregate menghasilkan tepat nilai penjumlahan seluruh nominal plaintext m1 + m2 + ... + mk mod n.</w:t>
      </w:r>
    </w:p>
    <w:p>
      <w:pPr>
        <w:spacing w:before="120" w:after="40"/>
        <w:jc w:val="center"/>
      </w:pPr>
      <w:r>
        <w:drawing>
          <wp:inline xmlns:a="http://schemas.openxmlformats.org/drawingml/2006/main" xmlns:pic="http://schemas.openxmlformats.org/drawingml/2006/picture">
            <wp:extent cx="5220000" cy="6092219"/>
            <wp:docPr id="1134776115" name="Picture 1134776115"/>
            <wp:cNvGraphicFramePr>
              <a:graphicFrameLocks noChangeAspect="1"/>
            </wp:cNvGraphicFramePr>
            <a:graphic>
              <a:graphicData uri="http://schemas.openxmlformats.org/drawingml/2006/picture">
                <pic:pic>
                  <pic:nvPicPr>
                    <pic:cNvPr id="0" name="gambar4_skema_agregasi_paillier.png"/>
                    <pic:cNvPicPr/>
                  </pic:nvPicPr>
                  <pic:blipFill>
                    <a:blip r:embed="rId35"/>
                    <a:stretch>
                      <a:fillRect/>
                    </a:stretch>
                  </pic:blipFill>
                  <pic:spPr>
                    <a:xfrm>
                      <a:off x="0" y="0"/>
                      <a:ext cx="5220000" cy="6092219"/>
                    </a:xfrm>
                    <a:prstGeom prst="rect"/>
                  </pic:spPr>
                </pic:pic>
              </a:graphicData>
            </a:graphic>
          </wp:inline>
        </w:drawing>
      </w:r>
    </w:p>
    <w:p>
      <w:pPr>
        <w:spacing w:before="40" w:after="120" w:line="240" w:lineRule="auto"/>
        <w:jc w:val="center"/>
      </w:pPr>
      <w:r>
        <w:rPr>
          <w:rFonts w:ascii="Times New Roman" w:hAnsi="Times New Roman"/>
          <w:b/>
          <w:sz w:val="24"/>
        </w:rPr>
        <w:t>Gambar 4. Skema Agregasi Aditif Homomorfik Paillier (AHE)</w:t>
      </w:r>
    </w:p>
    <w:p>
      <w:pPr>
        <w:spacing w:before="140" w:after="40" w:line="360" w:lineRule="auto"/>
        <w:jc w:val="left"/>
      </w:pPr>
      <w:r>
        <w:rPr>
          <w:rFonts w:ascii="Times New Roman" w:hAnsi="Times New Roman"/>
          <w:b/>
          <w:sz w:val="24"/>
        </w:rPr>
        <w:t>3. Perancangan Sirkuit ZK-SNARK (Circom 2 &amp; Groth16)</w:t>
      </w:r>
    </w:p>
    <w:p>
      <w:pPr>
        <w:spacing w:before="136" w:after="0" w:line="360" w:lineRule="auto"/>
        <w:ind w:firstLine="567"/>
        <w:jc w:val="both"/>
      </w:pPr>
      <w:r>
        <w:rPr>
          <w:rFonts w:ascii="Times New Roman" w:hAnsi="Times New Roman"/>
          <w:sz w:val="24"/>
        </w:rPr>
        <w:t>Untuk memastikan bahwa donatur tidak dapat menyuntikkan nominal donasi palsu (seperti nilai nol, bilangan negatif, atau nilai yang melebihi pagu maksimal kampanye), sistem menerapkan pembuktian tanpa pengetahuan (</w:t>
      </w:r>
      <w:r>
        <w:rPr>
          <w:rFonts w:ascii="Times New Roman" w:hAnsi="Times New Roman"/>
          <w:i/>
          <w:sz w:val="24"/>
        </w:rPr>
        <w:t>Zero-Knowledge Range Proofs</w:t>
      </w:r>
      <w:r>
        <w:rPr>
          <w:rFonts w:ascii="Times New Roman" w:hAnsi="Times New Roman"/>
          <w:sz w:val="24"/>
        </w:rPr>
        <w:t>) (Christ et al., 2024; Morais et al., 2020). Sirkuit aritmetika dirancang menggunakan bahasa Circom versi 2.2.0 (Muñoz-Tapia et al., 2022) atas kurva eliptik ramah-SNARK BN254 (</w:t>
      </w:r>
      <w:r>
        <w:rPr>
          <w:rFonts w:ascii="Times New Roman" w:hAnsi="Times New Roman"/>
          <w:i/>
          <w:sz w:val="24"/>
        </w:rPr>
        <w:t>alt_bn128</w:t>
      </w:r>
      <w:r>
        <w:rPr>
          <w:rFonts w:ascii="Times New Roman" w:hAnsi="Times New Roman"/>
          <w:sz w:val="24"/>
        </w:rPr>
        <w:t>).</w:t>
      </w:r>
    </w:p>
    <w:p>
      <w:pPr>
        <w:spacing w:before="136" w:after="0" w:line="360" w:lineRule="auto"/>
        <w:ind w:firstLine="567"/>
        <w:jc w:val="both"/>
      </w:pPr>
      <w:r>
        <w:rPr>
          <w:rFonts w:ascii="Times New Roman" w:hAnsi="Times New Roman"/>
          <w:sz w:val="24"/>
        </w:rPr>
        <w:t xml:space="preserve">Sirkuit `DonationProof.circom` memiliki empat sinyal utama: (1) Sinyal Masukan Privat: nominal donasi individual (`amount`) dan faktor pengacak rahasia (`secret`); (2) Sinyal Masukan Publik: pagu maksimal kampanye (`campaign_max`) dan komitmen hash (`commitment`). Struktur batasan R1CS mencakup evaluasi komparator 64-bit GreaterThan (`amount &gt; 0`), LessEqThan (`amount &lt;= campaign_max`), penegakan perkalian biner kedua kondisi (`isPositive.out </w:t>
      </w:r>
      <w:r>
        <w:rPr>
          <w:rFonts w:ascii="Times New Roman" w:hAnsi="Times New Roman"/>
          <w:sz w:val="24"/>
        </w:rPr>
        <w:t>* isWithinLimit.out === 1`), serta validasi integritas komitmen melalui fungsi hash aljabar Poseidon 2-ary (`Poseidon(amount, secret) === commitment`) (Grassi et al., 2021).</w:t>
      </w:r>
    </w:p>
    <w:p>
      <w:pPr>
        <w:spacing w:before="120" w:after="40"/>
        <w:jc w:val="center"/>
      </w:pPr>
      <w:r>
        <w:drawing>
          <wp:inline xmlns:a="http://schemas.openxmlformats.org/drawingml/2006/main" xmlns:pic="http://schemas.openxmlformats.org/drawingml/2006/picture">
            <wp:extent cx="5040000" cy="3452143"/>
            <wp:docPr id="1134776116" name="Picture 1134776116"/>
            <wp:cNvGraphicFramePr>
              <a:graphicFrameLocks noChangeAspect="1"/>
            </wp:cNvGraphicFramePr>
            <a:graphic>
              <a:graphicData uri="http://schemas.openxmlformats.org/drawingml/2006/picture">
                <pic:pic>
                  <pic:nvPicPr>
                    <pic:cNvPr id="0" name="gambar6_struktur_sirkuit_zk.png"/>
                    <pic:cNvPicPr/>
                  </pic:nvPicPr>
                  <pic:blipFill>
                    <a:blip r:embed="rId36"/>
                    <a:stretch>
                      <a:fillRect/>
                    </a:stretch>
                  </pic:blipFill>
                  <pic:spPr>
                    <a:xfrm>
                      <a:off x="0" y="0"/>
                      <a:ext cx="5040000" cy="3452143"/>
                    </a:xfrm>
                    <a:prstGeom prst="rect"/>
                  </pic:spPr>
                </pic:pic>
              </a:graphicData>
            </a:graphic>
          </wp:inline>
        </w:drawing>
      </w:r>
    </w:p>
    <w:p>
      <w:pPr>
        <w:spacing w:before="40" w:after="120" w:line="240" w:lineRule="auto"/>
        <w:jc w:val="center"/>
      </w:pPr>
      <w:r>
        <w:rPr>
          <w:rFonts w:ascii="Times New Roman" w:hAnsi="Times New Roman"/>
          <w:b/>
          <w:sz w:val="24"/>
        </w:rPr>
        <w:t>Gambar 6. Struktur Constraint Sirkuit ZK-SNARK Pembuktian Donasi (Circom)</w:t>
      </w:r>
    </w:p>
    <w:p>
      <w:pPr>
        <w:spacing w:before="136" w:after="0" w:line="360" w:lineRule="auto"/>
        <w:ind w:firstLine="567"/>
        <w:jc w:val="both"/>
      </w:pPr>
      <w:r>
        <w:rPr>
          <w:rFonts w:ascii="Times New Roman" w:hAnsi="Times New Roman"/>
          <w:sz w:val="24"/>
        </w:rPr>
        <w:t>Sirkuit dikompilasi ke dalam format R1CS dan witness generator biner WebAssembly. Melalui protokol Groth16 (Groth, 2016), bukti π = (πA, πB, πC) dibangkitkan dengan ukuran data yang sangat kompak (hanya 3 elemen kurva: πA ∈ G1, πB ∈ G2, dan πC ∈ G1), sehingga memungkinkan verifikasi instan on-chain melalui evaluasi pairing bilinear e(πA, πB) = e(α, β) · e(∑ xi γi, γ) · e(πC, δ).</w:t>
      </w:r>
    </w:p>
    <w:p>
      <w:pPr>
        <w:spacing w:before="140" w:after="40" w:line="360" w:lineRule="auto"/>
        <w:jc w:val="left"/>
      </w:pPr>
      <w:r>
        <w:rPr>
          <w:rFonts w:ascii="Times New Roman" w:hAnsi="Times New Roman"/>
          <w:b/>
          <w:sz w:val="24"/>
        </w:rPr>
        <w:t>4. Perancangan Kontrak Pintar Solidity EVM</w:t>
      </w:r>
    </w:p>
    <w:p>
      <w:pPr>
        <w:spacing w:before="136" w:after="0" w:line="360" w:lineRule="auto"/>
        <w:ind w:firstLine="567"/>
        <w:jc w:val="both"/>
      </w:pPr>
      <w:r>
        <w:rPr>
          <w:rFonts w:ascii="Times New Roman" w:hAnsi="Times New Roman"/>
          <w:sz w:val="24"/>
        </w:rPr>
        <w:t>Dua kontrak pintar utama diimplementasikan pada layer blockchain:</w:t>
        <w:br/>
        <w:t>a. `Groth16Verifier.sol`: Kontrak verifier yang memanfaatkan precompiled contract kurva BN254 pada EVM (`alt_bn128_pairing` pada alamat 0x08) yang distandarisasi melalui EIP-197.</w:t>
        <w:br/>
        <w:t>b. `DonationRegistry.sol`: Kontrak registri donasi yang menyimpan rekaman permanen beranggotakan `campaignId`, `commitment`, `encryptedAmount`, `zkProof`, `submitter`, dan `timestamp`. Fungsi `recordDonation` memeriksa kesesuaian sinyal publik terhadap batas kampanye on-chain, memvalidasi komitmen donasi, serta memanggil antarmuka verifier Groth16. Transaksi akan dibatalkan (</w:t>
      </w:r>
      <w:r>
        <w:rPr>
          <w:rFonts w:ascii="Times New Roman" w:hAnsi="Times New Roman"/>
          <w:i/>
          <w:sz w:val="24"/>
        </w:rPr>
        <w:t>revert</w:t>
      </w:r>
      <w:r>
        <w:rPr>
          <w:rFonts w:ascii="Times New Roman" w:hAnsi="Times New Roman"/>
          <w:sz w:val="24"/>
        </w:rPr>
        <w:t>) secara atomik jika salah satu validasi tidak terpenuhi.</w:t>
      </w:r>
    </w:p>
    <w:p>
      <w:pPr>
        <w:spacing w:before="140" w:after="40" w:line="360" w:lineRule="auto"/>
        <w:jc w:val="left"/>
      </w:pPr>
      <w:r>
        <w:rPr>
          <w:rFonts w:ascii="Times New Roman" w:hAnsi="Times New Roman"/>
          <w:b/>
          <w:sz w:val="24"/>
        </w:rPr>
        <w:t>5. Perancangan Reliabilitas &amp; Idempotensi Transaksi Dual-Write</w:t>
      </w:r>
    </w:p>
    <w:p>
      <w:pPr>
        <w:spacing w:before="136" w:after="0" w:line="360" w:lineRule="auto"/>
        <w:ind w:firstLine="567"/>
        <w:jc w:val="both"/>
      </w:pPr>
      <w:r>
        <w:rPr>
          <w:rFonts w:ascii="Times New Roman" w:hAnsi="Times New Roman"/>
          <w:sz w:val="24"/>
        </w:rPr>
        <w:t>Sistem yang menghubungkan basis data relasional dengan jaringan terdistribusi blockchain rentan mengalami kegagalan atomisitas (</w:t>
      </w:r>
      <w:r>
        <w:rPr>
          <w:rFonts w:ascii="Times New Roman" w:hAnsi="Times New Roman"/>
          <w:i/>
          <w:sz w:val="24"/>
        </w:rPr>
        <w:t>dual-write problem</w:t>
      </w:r>
      <w:r>
        <w:rPr>
          <w:rFonts w:ascii="Times New Roman" w:hAnsi="Times New Roman"/>
          <w:sz w:val="24"/>
        </w:rPr>
        <w:t xml:space="preserve">). Jika transaksi on-chain telah ditambang ke dalam blok tetapi server mengalami kegagalan sebelum memperbarui status di PostgreSQL, status sistem akan menjadi tidak konsisten. Untuk mengatasi hal ini, TrustGive menerapkan pola </w:t>
      </w:r>
      <w:r>
        <w:rPr>
          <w:rFonts w:ascii="Times New Roman" w:hAnsi="Times New Roman"/>
          <w:i/>
          <w:sz w:val="24"/>
        </w:rPr>
        <w:t>Reliability &amp; Reconciliation</w:t>
      </w:r>
      <w:r>
        <w:rPr>
          <w:rFonts w:ascii="Times New Roman" w:hAnsi="Times New Roman"/>
          <w:sz w:val="24"/>
        </w:rPr>
        <w:t xml:space="preserve"> yang mencakup:</w:t>
        <w:br/>
        <w:t xml:space="preserve">a. </w:t>
      </w:r>
      <w:r>
        <w:rPr>
          <w:rFonts w:ascii="Times New Roman" w:hAnsi="Times New Roman"/>
          <w:b/>
          <w:sz w:val="24"/>
        </w:rPr>
        <w:t>Idempotency Key:</w:t>
      </w:r>
      <w:r>
        <w:rPr>
          <w:rFonts w:ascii="Times New Roman" w:hAnsi="Times New Roman"/>
          <w:sz w:val="24"/>
        </w:rPr>
        <w:t xml:space="preserve"> Pemanfaatan header HTTP `Idempotency-Key` bertipe UUID v4. Setiap permintaan donasi baru diperiksa terhadap indeks unik basis data. Permintaan ulang dengan kunci yang sama akan mengembalikan status transaksi yang ada tanpa menciptakan baris donasi baru.</w:t>
        <w:br/>
        <w:t xml:space="preserve">b. </w:t>
      </w:r>
      <w:r>
        <w:rPr>
          <w:rFonts w:ascii="Times New Roman" w:hAnsi="Times New Roman"/>
          <w:b/>
          <w:sz w:val="24"/>
        </w:rPr>
        <w:t>Status Transisi Terpandu:</w:t>
      </w:r>
      <w:r>
        <w:rPr>
          <w:rFonts w:ascii="Times New Roman" w:hAnsi="Times New Roman"/>
          <w:sz w:val="24"/>
        </w:rPr>
        <w:t xml:space="preserve"> Donasi melalui siklus status: `pending` → penyerahan ke blockchain → perolehan `tx_hash` dan tanda terima (</w:t>
      </w:r>
      <w:r>
        <w:rPr>
          <w:rFonts w:ascii="Times New Roman" w:hAnsi="Times New Roman"/>
          <w:i/>
          <w:sz w:val="24"/>
        </w:rPr>
        <w:t>receipt</w:t>
      </w:r>
      <w:r>
        <w:rPr>
          <w:rFonts w:ascii="Times New Roman" w:hAnsi="Times New Roman"/>
          <w:sz w:val="24"/>
        </w:rPr>
        <w:t>) → pembaruan status menjadi `confirmed` → akumulasi homomorfik ke tabel `campaign_aggregates`.</w:t>
        <w:br/>
        <w:t xml:space="preserve">c. </w:t>
      </w:r>
      <w:r>
        <w:rPr>
          <w:rFonts w:ascii="Times New Roman" w:hAnsi="Times New Roman"/>
          <w:b/>
          <w:sz w:val="24"/>
        </w:rPr>
        <w:t>Background Reconciliation Worker:</w:t>
      </w:r>
      <w:r>
        <w:rPr>
          <w:rFonts w:ascii="Times New Roman" w:hAnsi="Times New Roman"/>
          <w:sz w:val="24"/>
        </w:rPr>
        <w:t xml:space="preserve"> </w:t>
      </w:r>
      <w:r>
        <w:rPr>
          <w:rFonts w:ascii="Times New Roman" w:hAnsi="Times New Roman"/>
          <w:i/>
          <w:sz w:val="24"/>
        </w:rPr>
        <w:t>Goroutine</w:t>
      </w:r>
      <w:r>
        <w:rPr>
          <w:rFonts w:ascii="Times New Roman" w:hAnsi="Times New Roman"/>
          <w:sz w:val="24"/>
        </w:rPr>
        <w:t xml:space="preserve"> latar belakang yang dieksekusi secara periodik (setiap 120 detik) untuk memeriksa seluruh donasi berstatus `pending`. Jika transaksi telah sukses di EVM, status disinkronkan menjadi `confirmed`; jika transaksi belum terkirim, sistem melakukan finalisasi pengiriman ulang (</w:t>
      </w:r>
      <w:r>
        <w:rPr>
          <w:rFonts w:ascii="Times New Roman" w:hAnsi="Times New Roman"/>
          <w:i/>
          <w:sz w:val="24"/>
        </w:rPr>
        <w:t>safe retry</w:t>
      </w:r>
      <w:r>
        <w:rPr>
          <w:rFonts w:ascii="Times New Roman" w:hAnsi="Times New Roman"/>
          <w:sz w:val="24"/>
        </w:rPr>
        <w:t>).</w:t>
      </w:r>
    </w:p>
    <w:p>
      <w:pPr>
        <w:spacing w:before="180" w:after="40" w:line="276" w:lineRule="auto"/>
        <w:jc w:val="left"/>
      </w:pPr>
      <w:r>
        <w:rPr>
          <w:rFonts w:ascii="Times New Roman" w:hAnsi="Times New Roman"/>
          <w:b/>
          <w:sz w:val="24"/>
        </w:rPr>
        <w:t>HASIL DAN PEMBAHASAN</w:t>
      </w:r>
    </w:p>
    <w:p>
      <w:pPr>
        <w:spacing w:before="136" w:after="0" w:line="360" w:lineRule="auto"/>
        <w:ind w:firstLine="567"/>
        <w:jc w:val="both"/>
      </w:pPr>
      <w:r>
        <w:rPr>
          <w:rFonts w:ascii="Times New Roman" w:hAnsi="Times New Roman"/>
          <w:sz w:val="24"/>
        </w:rPr>
        <w:t>Pengujian dan evaluasi prototipe sistem TrustGive dilakukan secara menyeluruh mencakup perancangan model data fisik, analisis alur proses bisnis donasi konfidensial, tata kelola siklus kampanye, pengujian performa komputasi dan biaya gas, serta evaluasi keandalan dan analisis batasan keamanan.</w:t>
      </w:r>
    </w:p>
    <w:p>
      <w:pPr>
        <w:spacing w:before="140" w:after="40" w:line="360" w:lineRule="auto"/>
        <w:jc w:val="left"/>
      </w:pPr>
      <w:r>
        <w:rPr>
          <w:rFonts w:ascii="Times New Roman" w:hAnsi="Times New Roman"/>
          <w:b/>
          <w:sz w:val="24"/>
        </w:rPr>
        <w:t>1. Desain dan Model Basis Data Relasional</w:t>
      </w:r>
    </w:p>
    <w:p>
      <w:pPr>
        <w:spacing w:before="136" w:after="0" w:line="360" w:lineRule="auto"/>
        <w:ind w:firstLine="567"/>
        <w:jc w:val="both"/>
      </w:pPr>
      <w:r>
        <w:rPr>
          <w:rFonts w:ascii="Times New Roman" w:hAnsi="Times New Roman"/>
          <w:sz w:val="24"/>
        </w:rPr>
        <w:t>Model data off-chain diimplementasikan pada sistem manajemen basis data PostgreSQL 15. Diagram Relasi Entitas (</w:t>
      </w:r>
      <w:r>
        <w:rPr>
          <w:rFonts w:ascii="Times New Roman" w:hAnsi="Times New Roman"/>
          <w:i/>
          <w:sz w:val="24"/>
        </w:rPr>
        <w:t>Entity Relationship Diagram</w:t>
      </w:r>
      <w:r>
        <w:rPr>
          <w:rFonts w:ascii="Times New Roman" w:hAnsi="Times New Roman"/>
          <w:sz w:val="24"/>
        </w:rPr>
        <w:t xml:space="preserve"> / ERD) yang merepresentasikan arsitektur data sistem disajikan pada Gambar 2.</w:t>
      </w:r>
    </w:p>
    <w:p>
      <w:pPr>
        <w:spacing w:before="120" w:after="40"/>
        <w:jc w:val="center"/>
      </w:pPr>
      <w:r>
        <w:drawing>
          <wp:inline xmlns:a="http://schemas.openxmlformats.org/drawingml/2006/main" xmlns:pic="http://schemas.openxmlformats.org/drawingml/2006/picture">
            <wp:extent cx="5220000" cy="9122996"/>
            <wp:docPr id="1134776117" name="Picture 1134776117"/>
            <wp:cNvGraphicFramePr>
              <a:graphicFrameLocks noChangeAspect="1"/>
            </wp:cNvGraphicFramePr>
            <a:graphic>
              <a:graphicData uri="http://schemas.openxmlformats.org/drawingml/2006/picture">
                <pic:pic>
                  <pic:nvPicPr>
                    <pic:cNvPr id="0" name="gambar2_erd_database.png"/>
                    <pic:cNvPicPr/>
                  </pic:nvPicPr>
                  <pic:blipFill>
                    <a:blip r:embed="rId37"/>
                    <a:stretch>
                      <a:fillRect/>
                    </a:stretch>
                  </pic:blipFill>
                  <pic:spPr>
                    <a:xfrm>
                      <a:off x="0" y="0"/>
                      <a:ext cx="5220000" cy="9122996"/>
                    </a:xfrm>
                    <a:prstGeom prst="rect"/>
                  </pic:spPr>
                </pic:pic>
              </a:graphicData>
            </a:graphic>
          </wp:inline>
        </w:drawing>
      </w:r>
    </w:p>
    <w:p>
      <w:pPr>
        <w:spacing w:before="40" w:after="120" w:line="240" w:lineRule="auto"/>
        <w:jc w:val="center"/>
      </w:pPr>
      <w:r>
        <w:rPr>
          <w:rFonts w:ascii="Times New Roman" w:hAnsi="Times New Roman"/>
          <w:b/>
          <w:sz w:val="24"/>
        </w:rPr>
        <w:t>Gambar 2. Diagram Relasi Entitas (ERD) Model Data Sistem</w:t>
      </w:r>
    </w:p>
    <w:p>
      <w:pPr>
        <w:spacing w:before="136" w:after="0" w:line="360" w:lineRule="auto"/>
        <w:ind w:firstLine="567"/>
        <w:jc w:val="both"/>
      </w:pPr>
      <w:r>
        <w:rPr>
          <w:rFonts w:ascii="Times New Roman" w:hAnsi="Times New Roman"/>
          <w:sz w:val="24"/>
        </w:rPr>
        <w:t>Model data dirancang dengan pemisahan peran yang tegas:</w:t>
        <w:br/>
        <w:t xml:space="preserve">a. Entitas `users` mengelola autentikasi berbasis JSON Web Token (JWT) dengan </w:t>
      </w:r>
      <w:r>
        <w:rPr>
          <w:rFonts w:ascii="Times New Roman" w:hAnsi="Times New Roman"/>
          <w:i/>
          <w:sz w:val="24"/>
        </w:rPr>
        <w:t>role-based access control</w:t>
      </w:r>
      <w:r>
        <w:rPr>
          <w:rFonts w:ascii="Times New Roman" w:hAnsi="Times New Roman"/>
          <w:sz w:val="24"/>
        </w:rPr>
        <w:t xml:space="preserve"> (`admin`, `organizer`, `donor`).</w:t>
        <w:br/>
        <w:t>b. Entitas `campaigns` merekam metadata kampanye, batas pagu donasi (`max_donation_amount`), dan pengenal unik on-chain (`blockchain_id`).</w:t>
        <w:br/>
        <w:t xml:space="preserve">c. Entitas `donations` menyimpan rekaman setiap transaksi, mencakup nilai komitmen Poseidon, </w:t>
      </w:r>
      <w:r>
        <w:rPr>
          <w:rFonts w:ascii="Times New Roman" w:hAnsi="Times New Roman"/>
          <w:i/>
          <w:sz w:val="24"/>
        </w:rPr>
        <w:t>ciphertext</w:t>
      </w:r>
      <w:r>
        <w:rPr>
          <w:rFonts w:ascii="Times New Roman" w:hAnsi="Times New Roman"/>
          <w:sz w:val="24"/>
        </w:rPr>
        <w:t xml:space="preserve"> Paillier (`encrypted_amount`), bukti serialisasi ZK (`zk_proof`), identitas transaksi blockchain (`tx_hash`), serta status verifikasi (`pending`, `confirmed`, `failed`).</w:t>
        <w:br/>
        <w:t xml:space="preserve">d. Entitas `campaign_aggregates` mencatat akumulasi </w:t>
      </w:r>
      <w:r>
        <w:rPr>
          <w:rFonts w:ascii="Times New Roman" w:hAnsi="Times New Roman"/>
          <w:i/>
          <w:sz w:val="24"/>
        </w:rPr>
        <w:t>ciphertext</w:t>
      </w:r>
      <w:r>
        <w:rPr>
          <w:rFonts w:ascii="Times New Roman" w:hAnsi="Times New Roman"/>
          <w:sz w:val="24"/>
        </w:rPr>
        <w:t xml:space="preserve"> terenkripsi homomorfik yang terus diperbarui secara inkremental setiap kali donasi terkonfirmasi.</w:t>
        <w:br/>
        <w:t>e. Entitas `donations_duplicate_archive` berfungsi sebagai tabel isolasi audit historis untuk mencatat transaksi anomali atau duplikat tanpa merusak integritas tabel utama.</w:t>
      </w:r>
    </w:p>
    <w:p>
      <w:pPr>
        <w:spacing w:before="140" w:after="40" w:line="360" w:lineRule="auto"/>
        <w:jc w:val="left"/>
      </w:pPr>
      <w:r>
        <w:rPr>
          <w:rFonts w:ascii="Times New Roman" w:hAnsi="Times New Roman"/>
          <w:b/>
          <w:sz w:val="24"/>
        </w:rPr>
        <w:t>2. Alur Transaksi Donasi Konfidensial End-to-End</w:t>
      </w:r>
    </w:p>
    <w:p>
      <w:pPr>
        <w:spacing w:before="136" w:after="0" w:line="360" w:lineRule="auto"/>
        <w:ind w:firstLine="567"/>
        <w:jc w:val="both"/>
      </w:pPr>
      <w:r>
        <w:rPr>
          <w:rFonts w:ascii="Times New Roman" w:hAnsi="Times New Roman"/>
          <w:sz w:val="24"/>
        </w:rPr>
        <w:t>Alur kerja donasi dari sisi klien hingga tercatat secara permanen di buku besar terdistribusi dan teragregasi secara homomorfik diilustrasikan melalui diagram sekuensial pada Gambar 3.</w:t>
      </w:r>
    </w:p>
    <w:p>
      <w:pPr>
        <w:spacing w:before="120" w:after="40"/>
        <w:jc w:val="center"/>
      </w:pPr>
      <w:r>
        <w:drawing>
          <wp:inline xmlns:a="http://schemas.openxmlformats.org/drawingml/2006/main" xmlns:pic="http://schemas.openxmlformats.org/drawingml/2006/picture">
            <wp:extent cx="5220000" cy="1937526"/>
            <wp:docPr id="1134776118" name="Picture 1134776118"/>
            <wp:cNvGraphicFramePr>
              <a:graphicFrameLocks noChangeAspect="1"/>
            </wp:cNvGraphicFramePr>
            <a:graphic>
              <a:graphicData uri="http://schemas.openxmlformats.org/drawingml/2006/picture">
                <pic:pic>
                  <pic:nvPicPr>
                    <pic:cNvPr id="0" name="gambar3_workflow_donasi.png"/>
                    <pic:cNvPicPr/>
                  </pic:nvPicPr>
                  <pic:blipFill>
                    <a:blip r:embed="rId38"/>
                    <a:stretch>
                      <a:fillRect/>
                    </a:stretch>
                  </pic:blipFill>
                  <pic:spPr>
                    <a:xfrm>
                      <a:off x="0" y="0"/>
                      <a:ext cx="5220000" cy="1937526"/>
                    </a:xfrm>
                    <a:prstGeom prst="rect"/>
                  </pic:spPr>
                </pic:pic>
              </a:graphicData>
            </a:graphic>
          </wp:inline>
        </w:drawing>
      </w:r>
    </w:p>
    <w:p>
      <w:pPr>
        <w:spacing w:before="40" w:after="120" w:line="240" w:lineRule="auto"/>
        <w:jc w:val="center"/>
      </w:pPr>
      <w:r>
        <w:rPr>
          <w:rFonts w:ascii="Times New Roman" w:hAnsi="Times New Roman"/>
          <w:b/>
          <w:sz w:val="24"/>
        </w:rPr>
        <w:t>Gambar 3. Diagram Alur Transaksi Donasi Konfidensial End-to-End</w:t>
      </w:r>
    </w:p>
    <w:p>
      <w:pPr>
        <w:spacing w:before="136" w:after="0" w:line="360" w:lineRule="auto"/>
        <w:ind w:firstLine="567"/>
        <w:jc w:val="both"/>
      </w:pPr>
      <w:r>
        <w:rPr>
          <w:rFonts w:ascii="Times New Roman" w:hAnsi="Times New Roman"/>
          <w:sz w:val="24"/>
        </w:rPr>
        <w:t>Proses transaksi berjalan melalui delapan tahapan kronologis: (1) Donatur memasukkan nominal donasi dan faktor pengacak rahasia pada antarmuka web, membangkitkan komitmen Poseidon C = Poseidon(v, r); (2) Saksi dievaluasi melalui sirkuit aritmetika untuk menghasilkan bukti matematis Groth16 π; (3) Klien mengirimkan paket donasi beserta header `Idempotency-Key` ke backend TrustGive; (4) Backend memvalidasi bukti ZK secara lokal, lalu mengenkripsi nominal donasi menggunakan Kunci Publik Paillier menjadi ciphertext c; (5) Backend mencatat status awal `pending` di basis data PostgreSQL; (6) Backend mengirimkan transaksi `recordDonation` ke kontrak pintar `DonationRegistry.sol` pada EVM, mengeksekusi verifikasi pairing on-chain; (7) Kontrak memancarkan event `DonationRecorded` dan mengembalikan tanda terima transaksi; (8) Backend memperbarui status donasi menjadi `confirmed`, mencatat `tx_hash`, dan mengeksekusi perkalian modular homomorfik pada entitas `campaign_aggregates`.</w:t>
      </w:r>
    </w:p>
    <w:p>
      <w:pPr>
        <w:spacing w:before="140" w:after="40" w:line="360" w:lineRule="auto"/>
        <w:jc w:val="left"/>
      </w:pPr>
      <w:r>
        <w:rPr>
          <w:rFonts w:ascii="Times New Roman" w:hAnsi="Times New Roman"/>
          <w:b/>
          <w:sz w:val="24"/>
        </w:rPr>
        <w:t>3. Tata Kelola Siklus Hidup Kampanye</w:t>
      </w:r>
    </w:p>
    <w:p>
      <w:pPr>
        <w:spacing w:before="136" w:after="0" w:line="360" w:lineRule="auto"/>
        <w:ind w:firstLine="567"/>
        <w:jc w:val="both"/>
      </w:pPr>
      <w:r>
        <w:rPr>
          <w:rFonts w:ascii="Times New Roman" w:hAnsi="Times New Roman"/>
          <w:sz w:val="24"/>
        </w:rPr>
        <w:t>Pengelolaan kampanye donasi menerapkan mesin status (</w:t>
      </w:r>
      <w:r>
        <w:rPr>
          <w:rFonts w:ascii="Times New Roman" w:hAnsi="Times New Roman"/>
          <w:i/>
          <w:sz w:val="24"/>
        </w:rPr>
        <w:t>finite state machine</w:t>
      </w:r>
      <w:r>
        <w:rPr>
          <w:rFonts w:ascii="Times New Roman" w:hAnsi="Times New Roman"/>
          <w:sz w:val="24"/>
        </w:rPr>
        <w:t>) untuk menjamin integritas donasi yang masuk sesuai periode penggalangan dana. Diagram status siklus hidup kampanye ditampilkan pada Gambar 7.</w:t>
      </w:r>
    </w:p>
    <w:p>
      <w:pPr>
        <w:spacing w:before="120" w:after="40"/>
        <w:jc w:val="center"/>
      </w:pPr>
      <w:r>
        <w:drawing>
          <wp:inline xmlns:a="http://schemas.openxmlformats.org/drawingml/2006/main" xmlns:pic="http://schemas.openxmlformats.org/drawingml/2006/picture">
            <wp:extent cx="5040000" cy="15097297"/>
            <wp:docPr id="1134776119" name="Picture 1134776119"/>
            <wp:cNvGraphicFramePr>
              <a:graphicFrameLocks noChangeAspect="1"/>
            </wp:cNvGraphicFramePr>
            <a:graphic>
              <a:graphicData uri="http://schemas.openxmlformats.org/drawingml/2006/picture">
                <pic:pic>
                  <pic:nvPicPr>
                    <pic:cNvPr id="0" name="gambar7_lifecycle_kampanye.png"/>
                    <pic:cNvPicPr/>
                  </pic:nvPicPr>
                  <pic:blipFill>
                    <a:blip r:embed="rId39"/>
                    <a:stretch>
                      <a:fillRect/>
                    </a:stretch>
                  </pic:blipFill>
                  <pic:spPr>
                    <a:xfrm>
                      <a:off x="0" y="0"/>
                      <a:ext cx="5040000" cy="15097297"/>
                    </a:xfrm>
                    <a:prstGeom prst="rect"/>
                  </pic:spPr>
                </pic:pic>
              </a:graphicData>
            </a:graphic>
          </wp:inline>
        </w:drawing>
      </w:r>
    </w:p>
    <w:p>
      <w:pPr>
        <w:spacing w:before="40" w:after="120" w:line="240" w:lineRule="auto"/>
        <w:jc w:val="center"/>
      </w:pPr>
      <w:r>
        <w:rPr>
          <w:rFonts w:ascii="Times New Roman" w:hAnsi="Times New Roman"/>
          <w:b/>
          <w:sz w:val="24"/>
        </w:rPr>
        <w:t>Gambar 7. Siklus Hidup dan Status Kampanye Donasi</w:t>
      </w:r>
    </w:p>
    <w:p>
      <w:pPr>
        <w:spacing w:before="136" w:after="0" w:line="360" w:lineRule="auto"/>
        <w:ind w:firstLine="567"/>
        <w:jc w:val="both"/>
      </w:pPr>
      <w:r>
        <w:rPr>
          <w:rFonts w:ascii="Times New Roman" w:hAnsi="Times New Roman"/>
          <w:sz w:val="24"/>
        </w:rPr>
        <w:t>Kampanye yang baru didaftarkan berstatus `active` dan secara otomatis mengunci parameter batas maksimum nominal pada kontrak pintar (`setCampaignMaxDonation`). Pengelola berhak mengubah status kampanye menjadi `paused` dalam kondisi darurat untuk menghentikan penerimaan donasi sementara. Ketika batas waktu tercapai atau target terpenuhi, kampanye dialihkan menjadi `completed`. Pada fase akhir ini, pengelola kampanye yang memiliki otorisasi Kunci Privat Paillier dapat melakukan proses dekripsi tunggal terhadap saldo agregat terenkripsi (`campaign_aggregates`) untuk mempublikasikan total dana terkumpul kepada publik dan auditor independen.</w:t>
      </w:r>
    </w:p>
    <w:p>
      <w:pPr>
        <w:spacing w:before="140" w:after="40" w:line="360" w:lineRule="auto"/>
        <w:jc w:val="left"/>
      </w:pPr>
      <w:r>
        <w:rPr>
          <w:rFonts w:ascii="Times New Roman" w:hAnsi="Times New Roman"/>
          <w:b/>
          <w:sz w:val="24"/>
        </w:rPr>
        <w:t>4. Reliabilitas Transaksi dan Idempotensi Dual-Write</w:t>
      </w:r>
    </w:p>
    <w:p>
      <w:pPr>
        <w:spacing w:before="136" w:after="0" w:line="360" w:lineRule="auto"/>
        <w:ind w:firstLine="567"/>
        <w:jc w:val="both"/>
      </w:pPr>
      <w:r>
        <w:rPr>
          <w:rFonts w:ascii="Times New Roman" w:hAnsi="Times New Roman"/>
          <w:sz w:val="24"/>
        </w:rPr>
        <w:t>Untuk menguji ketahanan sistem terhadap anomali jaringan dan gangguan konkurensi ganda, sistem mengimplementasikan logika penanganan kegagalan seperti yang digambarkan pada Gambar 5.</w:t>
      </w:r>
    </w:p>
    <w:p>
      <w:pPr>
        <w:spacing w:before="120" w:after="40"/>
        <w:jc w:val="center"/>
      </w:pPr>
      <w:r>
        <w:drawing>
          <wp:inline xmlns:a="http://schemas.openxmlformats.org/drawingml/2006/main" xmlns:pic="http://schemas.openxmlformats.org/drawingml/2006/picture">
            <wp:extent cx="5220000" cy="6824617"/>
            <wp:docPr id="1134776120" name="Picture 1134776120"/>
            <wp:cNvGraphicFramePr>
              <a:graphicFrameLocks noChangeAspect="1"/>
            </wp:cNvGraphicFramePr>
            <a:graphic>
              <a:graphicData uri="http://schemas.openxmlformats.org/drawingml/2006/picture">
                <pic:pic>
                  <pic:nvPicPr>
                    <pic:cNvPr id="0" name="gambar5_alur_idempotensi_recovery.png"/>
                    <pic:cNvPicPr/>
                  </pic:nvPicPr>
                  <pic:blipFill>
                    <a:blip r:embed="rId40"/>
                    <a:stretch>
                      <a:fillRect/>
                    </a:stretch>
                  </pic:blipFill>
                  <pic:spPr>
                    <a:xfrm>
                      <a:off x="0" y="0"/>
                      <a:ext cx="5220000" cy="6824617"/>
                    </a:xfrm>
                    <a:prstGeom prst="rect"/>
                  </pic:spPr>
                </pic:pic>
              </a:graphicData>
            </a:graphic>
          </wp:inline>
        </w:drawing>
      </w:r>
    </w:p>
    <w:p>
      <w:pPr>
        <w:spacing w:before="40" w:after="120" w:line="240" w:lineRule="auto"/>
        <w:jc w:val="center"/>
      </w:pPr>
      <w:r>
        <w:rPr>
          <w:rFonts w:ascii="Times New Roman" w:hAnsi="Times New Roman"/>
          <w:b/>
          <w:sz w:val="24"/>
        </w:rPr>
        <w:t>Gambar 5. Alur Logika Idempotensi dan Rekonsiliasi State Transaksi</w:t>
      </w:r>
    </w:p>
    <w:p>
      <w:pPr>
        <w:spacing w:before="136" w:after="0" w:line="360" w:lineRule="auto"/>
        <w:ind w:firstLine="567"/>
        <w:jc w:val="both"/>
      </w:pPr>
      <w:r>
        <w:rPr>
          <w:rFonts w:ascii="Times New Roman" w:hAnsi="Times New Roman"/>
          <w:sz w:val="24"/>
        </w:rPr>
        <w:t>Ketika permintaan donasi masuk, sistem memeriksa keberadaan `Idempotency-Key`. Jika permintaan merupakan pengulangan dari transaksi yang telah sukses (`confirmed`), sistem secara deterministik langsung mengembalikan data rekaman yang telah tersimpan tanpa melakukan komputasi kriptografi atau transaksi on-chain tambahan. Jika terjadi tabrakan transaksi konkuren (</w:t>
      </w:r>
      <w:r>
        <w:rPr>
          <w:rFonts w:ascii="Times New Roman" w:hAnsi="Times New Roman"/>
          <w:i/>
          <w:sz w:val="24"/>
        </w:rPr>
        <w:t>race condition</w:t>
      </w:r>
      <w:r>
        <w:rPr>
          <w:rFonts w:ascii="Times New Roman" w:hAnsi="Times New Roman"/>
          <w:sz w:val="24"/>
        </w:rPr>
        <w:t xml:space="preserve">), indeks unik pada level PostgreSQL menjamin bahwa hanya satu </w:t>
      </w:r>
      <w:r>
        <w:rPr>
          <w:rFonts w:ascii="Times New Roman" w:hAnsi="Times New Roman"/>
          <w:i/>
          <w:sz w:val="24"/>
        </w:rPr>
        <w:t>thread</w:t>
      </w:r>
      <w:r>
        <w:rPr>
          <w:rFonts w:ascii="Times New Roman" w:hAnsi="Times New Roman"/>
          <w:sz w:val="24"/>
        </w:rPr>
        <w:t xml:space="preserve"> yang berhasil melakukan proses </w:t>
      </w:r>
      <w:r>
        <w:rPr>
          <w:rFonts w:ascii="Times New Roman" w:hAnsi="Times New Roman"/>
          <w:i/>
          <w:sz w:val="24"/>
        </w:rPr>
        <w:t>insert</w:t>
      </w:r>
      <w:r>
        <w:rPr>
          <w:rFonts w:ascii="Times New Roman" w:hAnsi="Times New Roman"/>
          <w:sz w:val="24"/>
        </w:rPr>
        <w:t xml:space="preserve">, sementara </w:t>
      </w:r>
      <w:r>
        <w:rPr>
          <w:rFonts w:ascii="Times New Roman" w:hAnsi="Times New Roman"/>
          <w:i/>
          <w:sz w:val="24"/>
        </w:rPr>
        <w:t>thread</w:t>
      </w:r>
      <w:r>
        <w:rPr>
          <w:rFonts w:ascii="Times New Roman" w:hAnsi="Times New Roman"/>
          <w:sz w:val="24"/>
        </w:rPr>
        <w:t xml:space="preserve"> lainnya menangkap sinyal </w:t>
      </w:r>
      <w:r>
        <w:rPr>
          <w:rFonts w:ascii="Times New Roman" w:hAnsi="Times New Roman"/>
          <w:i/>
          <w:sz w:val="24"/>
        </w:rPr>
        <w:t>unique violation</w:t>
      </w:r>
      <w:r>
        <w:rPr>
          <w:rFonts w:ascii="Times New Roman" w:hAnsi="Times New Roman"/>
          <w:sz w:val="24"/>
        </w:rPr>
        <w:t xml:space="preserve"> dan beralih membaca status yang sedang diproses. Jika terjadi gangguan koneksi ke node EVM saat transaksi berstatus `pending`, modul </w:t>
      </w:r>
      <w:r>
        <w:rPr>
          <w:rFonts w:ascii="Times New Roman" w:hAnsi="Times New Roman"/>
          <w:i/>
          <w:sz w:val="24"/>
        </w:rPr>
        <w:t>reconciliation worker</w:t>
      </w:r>
      <w:r>
        <w:rPr>
          <w:rFonts w:ascii="Times New Roman" w:hAnsi="Times New Roman"/>
          <w:sz w:val="24"/>
        </w:rPr>
        <w:t xml:space="preserve"> secara otomatis melakukan pemeriksaan status tanda terima transaksi (</w:t>
      </w:r>
      <w:r>
        <w:rPr>
          <w:rFonts w:ascii="Times New Roman" w:hAnsi="Times New Roman"/>
          <w:i/>
          <w:sz w:val="24"/>
        </w:rPr>
        <w:t>polling receipt</w:t>
      </w:r>
      <w:r>
        <w:rPr>
          <w:rFonts w:ascii="Times New Roman" w:hAnsi="Times New Roman"/>
          <w:sz w:val="24"/>
        </w:rPr>
        <w:t xml:space="preserve">) sebelum memutuskan untuk melakukan </w:t>
      </w:r>
      <w:r>
        <w:rPr>
          <w:rFonts w:ascii="Times New Roman" w:hAnsi="Times New Roman"/>
          <w:i/>
          <w:sz w:val="24"/>
        </w:rPr>
        <w:t>retry</w:t>
      </w:r>
      <w:r>
        <w:rPr>
          <w:rFonts w:ascii="Times New Roman" w:hAnsi="Times New Roman"/>
          <w:sz w:val="24"/>
        </w:rPr>
        <w:t xml:space="preserve"> yang aman.</w:t>
      </w:r>
    </w:p>
    <w:p>
      <w:pPr>
        <w:spacing w:before="140" w:after="40" w:line="360" w:lineRule="auto"/>
        <w:jc w:val="left"/>
      </w:pPr>
      <w:r>
        <w:rPr>
          <w:rFonts w:ascii="Times New Roman" w:hAnsi="Times New Roman"/>
          <w:b/>
          <w:sz w:val="24"/>
        </w:rPr>
        <w:t>5. Evaluasi Kinerja Empiris</w:t>
      </w:r>
    </w:p>
    <w:p>
      <w:pPr>
        <w:spacing w:before="136" w:after="0" w:line="360" w:lineRule="auto"/>
        <w:ind w:firstLine="567"/>
        <w:jc w:val="both"/>
      </w:pPr>
      <w:r>
        <w:rPr>
          <w:rFonts w:ascii="Times New Roman" w:hAnsi="Times New Roman"/>
          <w:sz w:val="24"/>
        </w:rPr>
        <w:t>Evaluasi empiris dilakukan pada lingkungan pengujian terkontrol dengan spesifikasi perangkat keras prosesor x86_64 multi-core 3,2 GHz, RAM 16 GB, sistem operasi Windows/Linux, node blockchain lokal Hardhat (EVM Cancun/Prague compatible), Go 1.22, PostgreSQL 15, dan SnarkJS v0.7.</w:t>
      </w:r>
    </w:p>
    <w:p>
      <w:pPr>
        <w:spacing w:before="100" w:after="20" w:line="360" w:lineRule="auto"/>
        <w:jc w:val="left"/>
      </w:pPr>
      <w:r>
        <w:rPr>
          <w:rFonts w:ascii="Times New Roman" w:hAnsi="Times New Roman"/>
          <w:b/>
          <w:sz w:val="24"/>
        </w:rPr>
        <w:t>a. Profil Konsumsi Gas Kontrak Pintar pada EVM</w:t>
      </w:r>
    </w:p>
    <w:p>
      <w:pPr>
        <w:spacing w:before="136" w:after="0" w:line="360" w:lineRule="auto"/>
        <w:ind w:firstLine="567"/>
        <w:jc w:val="both"/>
      </w:pPr>
      <w:r>
        <w:rPr>
          <w:rFonts w:ascii="Times New Roman" w:hAnsi="Times New Roman"/>
          <w:sz w:val="24"/>
        </w:rPr>
        <w:t>Pengukuran konsumsi bahan bakar (</w:t>
      </w:r>
      <w:r>
        <w:rPr>
          <w:rFonts w:ascii="Times New Roman" w:hAnsi="Times New Roman"/>
          <w:i/>
          <w:sz w:val="24"/>
        </w:rPr>
        <w:t>gas consumption</w:t>
      </w:r>
      <w:r>
        <w:rPr>
          <w:rFonts w:ascii="Times New Roman" w:hAnsi="Times New Roman"/>
          <w:sz w:val="24"/>
        </w:rPr>
        <w:t>) pada EVM sangat penting untuk menentukan kelayakan ekonomi penerapan sistem pada jaringan publik. Tabel 1 merangkum profil gas hasil pengujian menggunakan Hardhat Testbed.</w:t>
      </w:r>
    </w:p>
    <w:p>
      <w:pPr>
        <w:spacing w:before="120" w:after="40" w:line="240" w:lineRule="auto"/>
        <w:jc w:val="center"/>
      </w:pPr>
      <w:r>
        <w:rPr>
          <w:rFonts w:ascii="Times New Roman" w:hAnsi="Times New Roman"/>
          <w:b/>
          <w:sz w:val="24"/>
        </w:rPr>
        <w:t>Tabel 1. Profil Konsumsi Gas Kontrak Pintar pada EVM Hardhat</w:t>
      </w:r>
    </w:p>
    <w:tbl>
      <w:tblPr>
        <w:tblW w:type="auto" w:w="0"/>
        <w:jc w:val="center"/>
        <w:tblLook w:firstColumn="1" w:firstRow="1" w:lastColumn="0" w:lastRow="0" w:noHBand="0" w:noVBand="1" w:val="04A0"/>
      </w:tblPr>
      <w:tblGrid>
        <w:gridCol w:w="1872"/>
        <w:gridCol w:w="1872"/>
        <w:gridCol w:w="1872"/>
        <w:gridCol w:w="1872"/>
        <w:gridCol w:w="1872"/>
      </w:tblGrid>
      <w:tr>
        <w:tc>
          <w:tcPr>
            <w:tcW w:type="dxa" w:w="567"/>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No</w:t>
            </w:r>
          </w:p>
        </w:tc>
        <w:tc>
          <w:tcPr>
            <w:tcW w:type="dxa" w:w="2381"/>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Operasi Kontrak Pintar</w:t>
            </w:r>
          </w:p>
        </w:tc>
        <w:tc>
          <w:tcPr>
            <w:tcW w:type="dxa" w:w="215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Modul / Fungsi Solidity</w:t>
            </w:r>
          </w:p>
        </w:tc>
        <w:tc>
          <w:tcPr>
            <w:tcW w:type="dxa" w:w="1587"/>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Konsumsi Gas (Units)</w:t>
            </w:r>
          </w:p>
        </w:tc>
        <w:tc>
          <w:tcPr>
            <w:tcW w:type="dxa" w:w="2381"/>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Keterangan &amp; Kompleksitas</w:t>
            </w:r>
          </w:p>
        </w:tc>
      </w:tr>
      <w:tr>
        <w:tc>
          <w:tcPr>
            <w:tcW w:type="dxa" w:w="567"/>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1</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Deployment Kontrak Verifier</w:t>
            </w:r>
          </w:p>
        </w:tc>
        <w:tc>
          <w:tcPr>
            <w:tcW w:type="dxa" w:w="215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Groth16Verifier.sol</w:t>
            </w:r>
          </w:p>
        </w:tc>
        <w:tc>
          <w:tcPr>
            <w:tcW w:type="dxa" w:w="1587"/>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594.120</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Inisialisasi konstanta pairing IC &amp; kurva BN254</w:t>
            </w:r>
          </w:p>
        </w:tc>
      </w:tr>
      <w:tr>
        <w:tc>
          <w:tcPr>
            <w:tcW w:type="dxa" w:w="567"/>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2</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Deployment Kontrak Registri</w:t>
            </w:r>
          </w:p>
        </w:tc>
        <w:tc>
          <w:tcPr>
            <w:tcW w:type="dxa" w:w="215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DonationRegistry.sol</w:t>
            </w:r>
          </w:p>
        </w:tc>
        <w:tc>
          <w:tcPr>
            <w:tcW w:type="dxa" w:w="1587"/>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887.450</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Inisialisasi alamat verifier dan storage pointers</w:t>
            </w:r>
          </w:p>
        </w:tc>
      </w:tr>
      <w:tr>
        <w:tc>
          <w:tcPr>
            <w:tcW w:type="dxa" w:w="567"/>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3</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Konfigurasi Pagu Kampanye</w:t>
            </w:r>
          </w:p>
        </w:tc>
        <w:tc>
          <w:tcPr>
            <w:tcW w:type="dxa" w:w="215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setCampaignMaxDonation()</w:t>
            </w:r>
          </w:p>
        </w:tc>
        <w:tc>
          <w:tcPr>
            <w:tcW w:type="dxa" w:w="1587"/>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46.218</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Penyimpanan parameter campaignMaxDonation</w:t>
            </w:r>
          </w:p>
        </w:tc>
      </w:tr>
      <w:tr>
        <w:tc>
          <w:tcPr>
            <w:tcW w:type="dxa" w:w="567"/>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4</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Pencatatan Donasi &amp; Verifikasi ZK</w:t>
            </w:r>
          </w:p>
        </w:tc>
        <w:tc>
          <w:tcPr>
            <w:tcW w:type="dxa" w:w="215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recordDonation()</w:t>
            </w:r>
          </w:p>
        </w:tc>
        <w:tc>
          <w:tcPr>
            <w:tcW w:type="dxa" w:w="1587"/>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243.518</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Termasuk pairing Groth16 on-chain, storage, &amp; event</w:t>
            </w:r>
          </w:p>
        </w:tc>
      </w:tr>
      <w:tr>
        <w:tc>
          <w:tcPr>
            <w:tcW w:type="dxa" w:w="567"/>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5</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Pembacaan Rekaman Donasi</w:t>
            </w:r>
          </w:p>
        </w:tc>
        <w:tc>
          <w:tcPr>
            <w:tcW w:type="dxa" w:w="215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getDonation()</w:t>
            </w:r>
          </w:p>
        </w:tc>
        <w:tc>
          <w:tcPr>
            <w:tcW w:type="dxa" w:w="1587"/>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0 (View)</w:t>
            </w:r>
          </w:p>
        </w:tc>
        <w:tc>
          <w:tcPr>
            <w:tcW w:type="dxa" w:w="238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Eksekusi lokal call tanpa biaya gas</w:t>
            </w:r>
          </w:p>
        </w:tc>
      </w:tr>
      <w:tr>
        <w:tc>
          <w:tcPr>
            <w:tcW w:type="dxa" w:w="567"/>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center"/>
            </w:pPr>
            <w:r>
              <w:rPr>
                <w:rFonts w:ascii="Times New Roman" w:hAnsi="Times New Roman"/>
                <w:sz w:val="20"/>
              </w:rPr>
              <w:t>6</w:t>
            </w:r>
          </w:p>
        </w:tc>
        <w:tc>
          <w:tcPr>
            <w:tcW w:type="dxa" w:w="2381"/>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Perhitungan Jumlah Donasi</w:t>
            </w:r>
          </w:p>
        </w:tc>
        <w:tc>
          <w:tcPr>
            <w:tcW w:type="dxa" w:w="215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getDonationCount()</w:t>
            </w:r>
          </w:p>
        </w:tc>
        <w:tc>
          <w:tcPr>
            <w:tcW w:type="dxa" w:w="1587"/>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right"/>
            </w:pPr>
            <w:r>
              <w:rPr>
                <w:rFonts w:ascii="Times New Roman" w:hAnsi="Times New Roman"/>
                <w:sz w:val="20"/>
              </w:rPr>
              <w:t>0 (View)</w:t>
            </w:r>
          </w:p>
        </w:tc>
        <w:tc>
          <w:tcPr>
            <w:tcW w:type="dxa" w:w="2381"/>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Eksekusi lokal call tanpa biaya gas</w:t>
            </w:r>
          </w:p>
        </w:tc>
      </w:tr>
    </w:tbl>
    <w:p>
      <w:pPr>
        <w:spacing w:before="0" w:after="80" w:line="240" w:lineRule="auto"/>
      </w:pPr>
    </w:p>
    <w:p>
      <w:pPr>
        <w:spacing w:before="136" w:after="0" w:line="360" w:lineRule="auto"/>
        <w:ind w:firstLine="567"/>
        <w:jc w:val="both"/>
      </w:pPr>
      <w:r>
        <w:rPr>
          <w:rFonts w:ascii="Times New Roman" w:hAnsi="Times New Roman"/>
          <w:sz w:val="24"/>
        </w:rPr>
        <w:t>Hasil pada Tabel 1 menunjukkan bahwa fungsi pencatatan donasi `recordDonation()` hanya mengonsumsi 243.518 gas. Angka ini sangat efisien dibandingkan sistem privasi berbasis ZKP lainnya (seperti Zether yang memerlukan lebih dari 1,5 juta gas per transaksi) karena TrustGive memanfaatkan precompiled contract kurva eliptik BN254 dan menyerahkan akumulasi saldo ke ranah off-chain homomorfik.</w:t>
      </w:r>
    </w:p>
    <w:p>
      <w:pPr>
        <w:spacing w:before="100" w:after="20" w:line="360" w:lineRule="auto"/>
        <w:jc w:val="left"/>
      </w:pPr>
      <w:r>
        <w:rPr>
          <w:rFonts w:ascii="Times New Roman" w:hAnsi="Times New Roman"/>
          <w:b/>
          <w:sz w:val="24"/>
        </w:rPr>
        <w:t>b. Evaluasi Waktu Komputasi Kriptografi (Paillier &amp; zk-SNARK)</w:t>
      </w:r>
    </w:p>
    <w:p>
      <w:pPr>
        <w:spacing w:before="136" w:after="0" w:line="360" w:lineRule="auto"/>
        <w:ind w:firstLine="567"/>
        <w:jc w:val="both"/>
      </w:pPr>
      <w:r>
        <w:rPr>
          <w:rFonts w:ascii="Times New Roman" w:hAnsi="Times New Roman"/>
          <w:sz w:val="24"/>
        </w:rPr>
        <w:t xml:space="preserve">Waktu komputasi kriptografis diukur menggunakan </w:t>
      </w:r>
      <w:r>
        <w:rPr>
          <w:rFonts w:ascii="Times New Roman" w:hAnsi="Times New Roman"/>
          <w:i/>
          <w:sz w:val="24"/>
        </w:rPr>
        <w:t>micro-benchmark suite</w:t>
      </w:r>
      <w:r>
        <w:rPr>
          <w:rFonts w:ascii="Times New Roman" w:hAnsi="Times New Roman"/>
          <w:sz w:val="24"/>
        </w:rPr>
        <w:t xml:space="preserve"> Go dan snarkjs. Hasil pengujian waktu latensi komputasi disajikan pada Tabel 2.</w:t>
      </w:r>
    </w:p>
    <w:p>
      <w:pPr>
        <w:spacing w:before="120" w:after="40" w:line="240" w:lineRule="auto"/>
        <w:jc w:val="center"/>
      </w:pPr>
      <w:r>
        <w:rPr>
          <w:rFonts w:ascii="Times New Roman" w:hAnsi="Times New Roman"/>
          <w:b/>
          <w:sz w:val="24"/>
        </w:rPr>
        <w:t>Tabel 2. Evaluasi Waktu Komputasi Kriptografi (Paillier &amp; zk-SNARK)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2551"/>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Komponen Operasi Kriptografi</w:t>
            </w:r>
          </w:p>
        </w:tc>
        <w:tc>
          <w:tcPr>
            <w:tcW w:type="dxa" w:w="181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Algoritma / Skema</w:t>
            </w:r>
          </w:p>
        </w:tc>
        <w:tc>
          <w:tcPr>
            <w:tcW w:type="dxa" w:w="181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Lingkungan Eksekusi</w:t>
            </w:r>
          </w:p>
        </w:tc>
        <w:tc>
          <w:tcPr>
            <w:tcW w:type="dxa" w:w="1361"/>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Rata-rata Waktu</w:t>
            </w:r>
          </w:p>
        </w:tc>
        <w:tc>
          <w:tcPr>
            <w:tcW w:type="dxa" w:w="1701"/>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Alokasi Memori / Throughput</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Pembangkitan Kunci (Keygen 2048-bit)</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Paillier Cryptosystem</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Go Backend (Off-chain)</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42,50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185 KB / operasi</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Enkripsi Nominal Donasi (c = Enc(v))</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Paillier Cryptosystem</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Go Backend (Off-chain)</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2,40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12 KB / operasi</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Penjumlahan Homomorfik (c1 · c2 mod n²)</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Paillier AHE</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Go Backend (Off-chain)</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0,015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&lt; 1 KB (~66.000 ops/detik)</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Dekripsi Total Agregat (v = Dec(c_agg))</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Paillier Cryptosystem</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Go Backend (Off-chain)</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3,10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14 KB / operasi</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Evaluasi Saksi (Witness Generation)</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Circom 2 (C++/Wasm)</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Klien / Node.js Engine</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8,20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4,2 MB / operasi</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Pembangkitan Bukti (Proof Generation)</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Groth16 (BN254)</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SnarkJS Prover</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412,00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18,5 MB / operasi</w:t>
            </w:r>
          </w:p>
        </w:tc>
      </w:tr>
      <w:tr>
        <w:tc>
          <w:tcPr>
            <w:tcW w:type="dxa" w:w="255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Verifikasi Bukti ZK Off-chain</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Groth16 Go Engine</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Go Backend (Off-chain)</w:t>
            </w:r>
          </w:p>
        </w:tc>
        <w:tc>
          <w:tcPr>
            <w:tcW w:type="dxa" w:w="1361"/>
            <w:tcMar>
              <w:top w:w="50" w:type="dxa"/>
              <w:bottom w:w="50" w:type="dxa"/>
              <w:left w:w="80" w:type="dxa"/>
              <w:right w:w="80" w:type="dxa"/>
            </w:tcMar>
            <w:tcBorders>
              <w:top w:val="none"/>
              <w:bottom w:val="none"/>
              <w:left w:val="none"/>
              <w:right w:val="none"/>
            </w:tcBorders>
          </w:tcPr>
          <w:p>
            <w:pPr>
              <w:spacing w:before="40" w:after="40" w:line="240" w:lineRule="auto"/>
              <w:jc w:val="right"/>
            </w:pPr>
            <w:r>
              <w:rPr>
                <w:rFonts w:ascii="Times New Roman" w:hAnsi="Times New Roman"/>
                <w:sz w:val="20"/>
              </w:rPr>
              <w:t>4,60 ms</w:t>
            </w:r>
          </w:p>
        </w:tc>
        <w:tc>
          <w:tcPr>
            <w:tcW w:type="dxa" w:w="1701"/>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24 KB / operasi</w:t>
            </w:r>
          </w:p>
        </w:tc>
      </w:tr>
      <w:tr>
        <w:tc>
          <w:tcPr>
            <w:tcW w:type="dxa" w:w="2551"/>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Verifikasi Bukti ZK On-chain</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Groth16 Solidity (Pairing)</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center"/>
            </w:pPr>
            <w:r>
              <w:rPr>
                <w:rFonts w:ascii="Times New Roman" w:hAnsi="Times New Roman"/>
                <w:sz w:val="20"/>
              </w:rPr>
              <w:t>EVM Hardhat</w:t>
            </w:r>
          </w:p>
        </w:tc>
        <w:tc>
          <w:tcPr>
            <w:tcW w:type="dxa" w:w="1361"/>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right"/>
            </w:pPr>
            <w:r>
              <w:rPr>
                <w:rFonts w:ascii="Times New Roman" w:hAnsi="Times New Roman"/>
                <w:sz w:val="20"/>
              </w:rPr>
              <w:t>~243k gas</w:t>
            </w:r>
          </w:p>
        </w:tc>
        <w:tc>
          <w:tcPr>
            <w:tcW w:type="dxa" w:w="1701"/>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Dieksekusi per blok</w:t>
            </w:r>
          </w:p>
        </w:tc>
      </w:tr>
    </w:tbl>
    <w:p>
      <w:pPr>
        <w:spacing w:before="0" w:after="80" w:line="240" w:lineRule="auto"/>
      </w:pPr>
    </w:p>
    <w:p>
      <w:pPr>
        <w:spacing w:before="136" w:after="0" w:line="360" w:lineRule="auto"/>
        <w:ind w:firstLine="567"/>
        <w:jc w:val="both"/>
      </w:pPr>
      <w:r>
        <w:rPr>
          <w:rFonts w:ascii="Times New Roman" w:hAnsi="Times New Roman"/>
          <w:sz w:val="24"/>
        </w:rPr>
        <w:t>Sebagaimana terlihat pada Tabel 2, operasi perkalian modular Paillier untuk agregasi homomorfik hanya memerlukan waktu 0,015 milidetik per donasi. Hal ini membuktikan bahwa akumulasi ribuan donasi dapat dilakukan secara instan tanpa membebani server backend. Sementara itu, waktu pembentukan bukti Groth16 sebesar 412 milidetik berada dalam batas toleransi yang sangat baik untuk interaksi pengguna web secara interaktif.</w:t>
      </w:r>
    </w:p>
    <w:p>
      <w:pPr>
        <w:spacing w:before="100" w:after="20" w:line="360" w:lineRule="auto"/>
        <w:jc w:val="left"/>
      </w:pPr>
      <w:r>
        <w:rPr>
          <w:rFonts w:ascii="Times New Roman" w:hAnsi="Times New Roman"/>
          <w:b/>
          <w:sz w:val="24"/>
        </w:rPr>
        <w:t>c. Matriks Pengujian Keandalan dan Ketahanan Sistem</w:t>
      </w:r>
    </w:p>
    <w:p>
      <w:pPr>
        <w:spacing w:before="136" w:after="0" w:line="360" w:lineRule="auto"/>
        <w:ind w:firstLine="567"/>
        <w:jc w:val="both"/>
      </w:pPr>
      <w:r>
        <w:rPr>
          <w:rFonts w:ascii="Times New Roman" w:hAnsi="Times New Roman"/>
          <w:sz w:val="24"/>
        </w:rPr>
        <w:t>Uji ketahanan (</w:t>
      </w:r>
      <w:r>
        <w:rPr>
          <w:rFonts w:ascii="Times New Roman" w:hAnsi="Times New Roman"/>
          <w:i/>
          <w:sz w:val="24"/>
        </w:rPr>
        <w:t>reliability testing</w:t>
      </w:r>
      <w:r>
        <w:rPr>
          <w:rFonts w:ascii="Times New Roman" w:hAnsi="Times New Roman"/>
          <w:sz w:val="24"/>
        </w:rPr>
        <w:t>) dan skenario negatif dilakukan untuk memverifikasi ketangguhan sistem terhadap kegagalan perangkat keras, anomali jaringan, serta upaya eksploitasi oleh aktor jahat. Hasil pengujian dirangkum pada Tabel 3.</w:t>
      </w:r>
    </w:p>
    <w:p>
      <w:pPr>
        <w:spacing w:before="120" w:after="40" w:line="240" w:lineRule="auto"/>
        <w:jc w:val="center"/>
      </w:pPr>
      <w:r>
        <w:rPr>
          <w:rFonts w:ascii="Times New Roman" w:hAnsi="Times New Roman"/>
          <w:b/>
          <w:sz w:val="24"/>
        </w:rPr>
        <w:t>Tabel 3. Matriks Hasil Pengujian Keandalan dan Ketahanan Sistem (Reliability &amp; Negative Tests)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45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No</w:t>
            </w:r>
          </w:p>
        </w:tc>
        <w:tc>
          <w:tcPr>
            <w:tcW w:type="dxa" w:w="1928"/>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Skenario Pengujian</w:t>
            </w:r>
          </w:p>
        </w:tc>
        <w:tc>
          <w:tcPr>
            <w:tcW w:type="dxa" w:w="181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Masukan / Kondisi Uji</w:t>
            </w:r>
          </w:p>
        </w:tc>
        <w:tc>
          <w:tcPr>
            <w:tcW w:type="dxa" w:w="181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Perilaku yang Diharapkan</w:t>
            </w:r>
          </w:p>
        </w:tc>
        <w:tc>
          <w:tcPr>
            <w:tcW w:type="dxa" w:w="2268"/>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Hasil Pengamatan Empiris</w:t>
            </w:r>
          </w:p>
        </w:tc>
        <w:tc>
          <w:tcPr>
            <w:tcW w:type="dxa" w:w="794"/>
            <w:tcMar>
              <w:top w:w="60" w:type="dxa"/>
              <w:bottom w:w="60" w:type="dxa"/>
              <w:left w:w="80" w:type="dxa"/>
              <w:right w:w="80" w:type="dxa"/>
            </w:tcMar>
            <w:shd w:fill="F2F2F2"/>
            <w:tcBorders>
              <w:top w:val="single" w:sz="12" w:space="0" w:color="000000"/>
              <w:bottom w:val="single" w:sz="8" w:space="0" w:color="000000"/>
              <w:left w:val="none"/>
              <w:right w:val="none"/>
            </w:tcBorders>
          </w:tcPr>
          <w:p>
            <w:pPr>
              <w:spacing w:before="60" w:after="60" w:line="240" w:lineRule="auto"/>
              <w:jc w:val="center"/>
            </w:pPr>
            <w:r>
              <w:rPr>
                <w:rFonts w:ascii="Times New Roman" w:hAnsi="Times New Roman"/>
                <w:b/>
                <w:sz w:val="20"/>
              </w:rPr>
              <w:t>Status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1</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Donasi Normal (Happy Path)</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Nominal valid, proof valid, format benar</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Transaksi sukses, status confirmed, agregat bertambah</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Tersimpan di DB &amp; EVM, tx hash valid, agregat presisi</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2</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Bukti ZK Palsu / Dimanipulasi</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Bukti π diubah 1 bit data</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Ditolak verifier backend dan EVM</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Transaksi dibatalkan (invalid zk proof), revert on-chain</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3</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Komitmen Tidak Cocok</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Proof valid tapi komitmen dipasangkan beda</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Kontrak menolak transaksi</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Kontrak revert dengan pesan invalid commitment</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4</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Pelanggaran Pagu Kampanye</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Nominal melebihi campaign_max</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Pembuatan saksi gagal / proof ditolak</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Sirkuit gagal menghasilkan witness yang memenuhi batasan R1CS</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5</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Nilai Nol atau Negatif</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Nominal &lt;= 0</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Sirkuit menolak kondisi amount &gt; 0</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Komponen isPositive bernilai 0, pembuktian gagal</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6</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Duplikasi Idempotensi</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Request ulang dengan Idempotency-Key sama</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Kembalikan respons 200 tanpa baris baru</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HTTP 200, return payload donasi tersimpan, 0 duplikasi</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7</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Konkurensi Paralel Ekstrem</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20 request konkuren dengan key sama</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Tepat 1 record berhasil, 19 baca existing</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PostgreSQL unique constraint tangkap race, 1 record tersimpan</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8</w:t>
            </w:r>
          </w:p>
        </w:tc>
        <w:tc>
          <w:tcPr>
            <w:tcW w:type="dxa" w:w="192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Uji Kegagalan RPC Blockchain</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Node EVM dimatikan sementara saat donasi</w:t>
            </w:r>
          </w:p>
        </w:tc>
        <w:tc>
          <w:tcPr>
            <w:tcW w:type="dxa" w:w="1814"/>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Status pending, pulih saat RPC online</w:t>
            </w:r>
          </w:p>
        </w:tc>
        <w:tc>
          <w:tcPr>
            <w:tcW w:type="dxa" w:w="2268"/>
            <w:tcMar>
              <w:top w:w="50" w:type="dxa"/>
              <w:bottom w:w="50" w:type="dxa"/>
              <w:left w:w="80" w:type="dxa"/>
              <w:right w:w="80" w:type="dxa"/>
            </w:tcMar>
            <w:tcBorders>
              <w:top w:val="none"/>
              <w:bottom w:val="none"/>
              <w:left w:val="none"/>
              <w:right w:val="none"/>
            </w:tcBorders>
          </w:tcPr>
          <w:p>
            <w:pPr>
              <w:spacing w:before="40" w:after="40" w:line="240" w:lineRule="auto"/>
              <w:jc w:val="left"/>
            </w:pPr>
            <w:r>
              <w:rPr>
                <w:rFonts w:ascii="Times New Roman" w:hAnsi="Times New Roman"/>
                <w:sz w:val="20"/>
              </w:rPr>
              <w:t>Reconciliation worker selesaikan tx saat node aktif</w:t>
            </w:r>
          </w:p>
        </w:tc>
        <w:tc>
          <w:tcPr>
            <w:tcW w:type="dxa" w:w="794"/>
            <w:tcMar>
              <w:top w:w="50" w:type="dxa"/>
              <w:bottom w:w="50" w:type="dxa"/>
              <w:left w:w="80" w:type="dxa"/>
              <w:right w:w="80" w:type="dxa"/>
            </w:tcMar>
            <w:tcBorders>
              <w:top w:val="none"/>
              <w:bottom w:val="none"/>
              <w:left w:val="none"/>
              <w:right w:val="none"/>
            </w:tcBorders>
          </w:tcPr>
          <w:p>
            <w:pPr>
              <w:spacing w:before="40" w:after="40" w:line="240" w:lineRule="auto"/>
              <w:jc w:val="center"/>
            </w:pPr>
            <w:r>
              <w:rPr>
                <w:rFonts w:ascii="Times New Roman" w:hAnsi="Times New Roman"/>
                <w:sz w:val="20"/>
              </w:rPr>
              <w:t>VALID</w:t>
            </w:r>
          </w:p>
        </w:tc>
      </w:tr>
      <w:tr>
        <w:tc>
          <w:tcPr>
            <w:tcW w:type="dxa" w:w="45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center"/>
            </w:pPr>
            <w:r>
              <w:rPr>
                <w:rFonts w:ascii="Times New Roman" w:hAnsi="Times New Roman"/>
                <w:sz w:val="20"/>
              </w:rPr>
              <w:t>9</w:t>
            </w:r>
          </w:p>
        </w:tc>
        <w:tc>
          <w:tcPr>
            <w:tcW w:type="dxa" w:w="1928"/>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Uji Rekonsiliasi Agregat</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Hitung ulang dari confirmed donations</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Nilai dekripsi rekonsiliasi sama persis</w:t>
            </w:r>
          </w:p>
        </w:tc>
        <w:tc>
          <w:tcPr>
            <w:tcW w:type="dxa" w:w="2268"/>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left"/>
            </w:pPr>
            <w:r>
              <w:rPr>
                <w:rFonts w:ascii="Times New Roman" w:hAnsi="Times New Roman"/>
                <w:sz w:val="20"/>
              </w:rPr>
              <w:t>Nilai dekripsi sebelum &amp; sesudah identik (100% presisi)</w:t>
            </w:r>
          </w:p>
        </w:tc>
        <w:tc>
          <w:tcPr>
            <w:tcW w:type="dxa" w:w="794"/>
            <w:tcMar>
              <w:top w:w="50" w:type="dxa"/>
              <w:bottom w:w="50" w:type="dxa"/>
              <w:left w:w="80" w:type="dxa"/>
              <w:right w:w="80" w:type="dxa"/>
            </w:tcMar>
            <w:tcBorders>
              <w:top w:val="none"/>
              <w:bottom w:val="single" w:sz="12" w:space="0" w:color="000000"/>
              <w:left w:val="none"/>
              <w:right w:val="none"/>
            </w:tcBorders>
          </w:tcPr>
          <w:p>
            <w:pPr>
              <w:spacing w:before="40" w:after="40" w:line="240" w:lineRule="auto"/>
              <w:jc w:val="center"/>
            </w:pPr>
            <w:r>
              <w:rPr>
                <w:rFonts w:ascii="Times New Roman" w:hAnsi="Times New Roman"/>
                <w:sz w:val="20"/>
              </w:rPr>
              <w:t>VALID</w:t>
            </w:r>
          </w:p>
        </w:tc>
      </w:tr>
    </w:tbl>
    <w:p>
      <w:pPr>
        <w:spacing w:before="0" w:after="80" w:line="240" w:lineRule="auto"/>
      </w:pPr>
    </w:p>
    <w:p>
      <w:pPr>
        <w:spacing w:before="136" w:after="0" w:line="360" w:lineRule="auto"/>
        <w:ind w:firstLine="567"/>
        <w:jc w:val="both"/>
      </w:pPr>
      <w:r>
        <w:rPr>
          <w:rFonts w:ascii="Times New Roman" w:hAnsi="Times New Roman"/>
          <w:sz w:val="24"/>
        </w:rPr>
        <w:t>Seluruh 9 skenario uji pada Tabel 3 berhasil divalidasi dengan sempurna (</w:t>
      </w:r>
      <w:r>
        <w:rPr>
          <w:rFonts w:ascii="Times New Roman" w:hAnsi="Times New Roman"/>
          <w:i/>
          <w:sz w:val="24"/>
        </w:rPr>
        <w:t>100% pass rate</w:t>
      </w:r>
      <w:r>
        <w:rPr>
          <w:rFonts w:ascii="Times New Roman" w:hAnsi="Times New Roman"/>
          <w:sz w:val="24"/>
        </w:rPr>
        <w:t>), membuktikan bahwa arsitektur TrustGive memiliki derajat reliabilitas dan integritas data yang sangat tinggi.</w:t>
      </w:r>
    </w:p>
    <w:p>
      <w:pPr>
        <w:spacing w:before="140" w:after="40" w:line="360" w:lineRule="auto"/>
        <w:jc w:val="left"/>
      </w:pPr>
      <w:r>
        <w:rPr>
          <w:rFonts w:ascii="Times New Roman" w:hAnsi="Times New Roman"/>
          <w:b/>
          <w:sz w:val="24"/>
        </w:rPr>
        <w:t>6. Analisis Keamanan, Batas Privasi, dan Keterbatasan Penelitian (Phase 4 Roadmap)</w:t>
      </w:r>
    </w:p>
    <w:p>
      <w:pPr>
        <w:spacing w:before="136" w:after="0" w:line="360" w:lineRule="auto"/>
        <w:ind w:firstLine="567"/>
        <w:jc w:val="both"/>
      </w:pPr>
      <w:r>
        <w:rPr>
          <w:rFonts w:ascii="Times New Roman" w:hAnsi="Times New Roman"/>
          <w:sz w:val="24"/>
        </w:rPr>
        <w:t>Sesuai dengan prinsip transparansi akademik dan integritas ilmiah, penelitian ini secara eksplisit mengidentifikasi batas-batas model ancaman (</w:t>
      </w:r>
      <w:r>
        <w:rPr>
          <w:rFonts w:ascii="Times New Roman" w:hAnsi="Times New Roman"/>
          <w:i/>
          <w:sz w:val="24"/>
        </w:rPr>
        <w:t>threat model</w:t>
      </w:r>
      <w:r>
        <w:rPr>
          <w:rFonts w:ascii="Times New Roman" w:hAnsi="Times New Roman"/>
          <w:sz w:val="24"/>
        </w:rPr>
        <w:t>) dan keterbatasan arsitektur prototipe saat ini:</w:t>
        <w:br/>
        <w:t xml:space="preserve">a. </w:t>
      </w:r>
      <w:r>
        <w:rPr>
          <w:rFonts w:ascii="Times New Roman" w:hAnsi="Times New Roman"/>
          <w:b/>
          <w:sz w:val="24"/>
        </w:rPr>
        <w:t>Batas Privasi Sisi Server (*Honest-but-Curious Backend*):</w:t>
      </w:r>
      <w:r>
        <w:rPr>
          <w:rFonts w:ascii="Times New Roman" w:hAnsi="Times New Roman"/>
          <w:sz w:val="24"/>
        </w:rPr>
        <w:t xml:space="preserve"> Pada prototipe TrustGive saat ini, nominal donasi plaintext masih dikirimkan oleh klien ke backend untuk dienkripsi menggunakan pustaka Paillier di lingkungan server. Pendekatan ini efektif menjamin kerahasiaan nominal donatur terhadap pengamat publik pada buku besar blockchain (</w:t>
      </w:r>
      <w:r>
        <w:rPr>
          <w:rFonts w:ascii="Times New Roman" w:hAnsi="Times New Roman"/>
          <w:i/>
          <w:sz w:val="24"/>
        </w:rPr>
        <w:t>public ledger privacy</w:t>
      </w:r>
      <w:r>
        <w:rPr>
          <w:rFonts w:ascii="Times New Roman" w:hAnsi="Times New Roman"/>
          <w:sz w:val="24"/>
        </w:rPr>
        <w:t>), namun backend server bertindak sebagai entitas yang mengetahui nominal (</w:t>
      </w:r>
      <w:r>
        <w:rPr>
          <w:rFonts w:ascii="Times New Roman" w:hAnsi="Times New Roman"/>
          <w:i/>
          <w:sz w:val="24"/>
        </w:rPr>
        <w:t>semi-trusted server</w:t>
      </w:r>
      <w:r>
        <w:rPr>
          <w:rFonts w:ascii="Times New Roman" w:hAnsi="Times New Roman"/>
          <w:sz w:val="24"/>
        </w:rPr>
        <w:t>). Untuk mencapai privasi tanpa perantara (</w:t>
      </w:r>
      <w:r>
        <w:rPr>
          <w:rFonts w:ascii="Times New Roman" w:hAnsi="Times New Roman"/>
          <w:i/>
          <w:sz w:val="24"/>
        </w:rPr>
        <w:t>end-to-end zero-knowledge confidentiality</w:t>
      </w:r>
      <w:r>
        <w:rPr>
          <w:rFonts w:ascii="Times New Roman" w:hAnsi="Times New Roman"/>
          <w:sz w:val="24"/>
        </w:rPr>
        <w:t>), proses enkripsi Paillier dan pembuktian zk-SNARK harus dimigrasikan secara penuh ke sisi peramban donatur (</w:t>
      </w:r>
      <w:r>
        <w:rPr>
          <w:rFonts w:ascii="Times New Roman" w:hAnsi="Times New Roman"/>
          <w:i/>
          <w:sz w:val="24"/>
        </w:rPr>
        <w:t>browser-based prover</w:t>
      </w:r>
      <w:r>
        <w:rPr>
          <w:rFonts w:ascii="Times New Roman" w:hAnsi="Times New Roman"/>
          <w:sz w:val="24"/>
        </w:rPr>
        <w:t>).</w:t>
        <w:br/>
        <w:t xml:space="preserve">b. </w:t>
      </w:r>
      <w:r>
        <w:rPr>
          <w:rFonts w:ascii="Times New Roman" w:hAnsi="Times New Roman"/>
          <w:b/>
          <w:sz w:val="24"/>
        </w:rPr>
        <w:t>Ketiadaan Pengikatan Bukti ke Ciphertext (*Proof-to-Ciphertext Binding Problem*):</w:t>
      </w:r>
      <w:r>
        <w:rPr>
          <w:rFonts w:ascii="Times New Roman" w:hAnsi="Times New Roman"/>
          <w:sz w:val="24"/>
        </w:rPr>
        <w:t xml:space="preserve"> Sirkuit Groth16 saat ini hanya membuktikan bahwa saksi rahasia memenuhi rentang nominal dan bersesuaian dengan nilai komitmen Poseidon commitment = Poseidon(v, r). Sirkuit belum memuat batasan matematika yang mengikat nilai witness v tersebut dengan representasi ciphertext Paillier c = (g^v · r^n) mod n². Secara teoretis, jika server backend mengalami kompromi atau disusupi oleh penyerang, penyerang berpotensi menyuntikkan ciphertext dengan nominal berbeda dari yang dibuktikan oleh sirkuit ZK tanpa terdeteksi oleh verifier on-chain. Untuk mengatasi tantangan fundamental ini, penelitian lanjutan pada Fase 4 memetakan tiga arah desain ilmiah:</w:t>
        <w:br/>
        <w:t xml:space="preserve">1) </w:t>
      </w:r>
      <w:r>
        <w:rPr>
          <w:rFonts w:ascii="Times New Roman" w:hAnsi="Times New Roman"/>
          <w:i/>
          <w:sz w:val="24"/>
        </w:rPr>
        <w:t>Opsi A (Public Input Ciphertext Digest):</w:t>
      </w:r>
      <w:r>
        <w:rPr>
          <w:rFonts w:ascii="Times New Roman" w:hAnsi="Times New Roman"/>
          <w:sz w:val="24"/>
        </w:rPr>
        <w:t xml:space="preserve"> Memasukkan digest atau representasi dekomposisi bit ciphertext Paillier ke dalam sinyal publik sirkuit ZK. Tantangannya terletak pada inkompatibilitas ukuran modulus RSA Paillier (2048-bit) terhadap modulus lapangan berhingga BN254 (254-bit) yang dapat menyebabkan pembengkakan batasan R1CS.</w:t>
        <w:br/>
        <w:t xml:space="preserve">2) </w:t>
      </w:r>
      <w:r>
        <w:rPr>
          <w:rFonts w:ascii="Times New Roman" w:hAnsi="Times New Roman"/>
          <w:i/>
          <w:sz w:val="24"/>
        </w:rPr>
        <w:t>Opsi B (Verifiable Encryption / SAVER):</w:t>
      </w:r>
      <w:r>
        <w:rPr>
          <w:rFonts w:ascii="Times New Roman" w:hAnsi="Times New Roman"/>
          <w:sz w:val="24"/>
        </w:rPr>
        <w:t xml:space="preserve"> Mengadopsi protokol kriptografi mutakhir SAVER (</w:t>
      </w:r>
      <w:r>
        <w:rPr>
          <w:rFonts w:ascii="Times New Roman" w:hAnsi="Times New Roman"/>
          <w:i/>
          <w:sz w:val="24"/>
        </w:rPr>
        <w:t>SNARK-friendly, Additively-homomorphic, and Verifiable Encryption and Decryption</w:t>
      </w:r>
      <w:r>
        <w:rPr>
          <w:rFonts w:ascii="Times New Roman" w:hAnsi="Times New Roman"/>
          <w:sz w:val="24"/>
        </w:rPr>
        <w:t>) (Lee et al., 2019) yang secara khusus dirancang untuk mengikat enkripsi homomorfik dengan sirkuit SNARK tanpa menimbulkan ledakan batasan sirkuit.</w:t>
        <w:br/>
        <w:t xml:space="preserve">3) </w:t>
      </w:r>
      <w:r>
        <w:rPr>
          <w:rFonts w:ascii="Times New Roman" w:hAnsi="Times New Roman"/>
          <w:i/>
          <w:sz w:val="24"/>
        </w:rPr>
        <w:t>Opsi C (Deterministic Audit Logging):</w:t>
      </w:r>
      <w:r>
        <w:rPr>
          <w:rFonts w:ascii="Times New Roman" w:hAnsi="Times New Roman"/>
          <w:sz w:val="24"/>
        </w:rPr>
        <w:t xml:space="preserve"> Menerapkan mekanisme pencatatan audit deterministik berbasis hash rantai nilai (commitment, ciphertext, proof_hash) yang diaudit secara acak oleh pihak ketiga independen.</w:t>
        <w:br/>
        <w:t xml:space="preserve">c. </w:t>
      </w:r>
      <w:r>
        <w:rPr>
          <w:rFonts w:ascii="Times New Roman" w:hAnsi="Times New Roman"/>
          <w:b/>
          <w:sz w:val="24"/>
        </w:rPr>
        <w:t>Kustodian Kunci Privat Paillier (*Decentralized Key Custody*):</w:t>
      </w:r>
      <w:r>
        <w:rPr>
          <w:rFonts w:ascii="Times New Roman" w:hAnsi="Times New Roman"/>
          <w:sz w:val="24"/>
        </w:rPr>
        <w:t xml:space="preserve"> Saat ini, pasangan kunci privat Paillier dikelola secara terpusat oleh instansi pengelola kampanye pada backend demo. Apabila kunci privat bocor, penyerang dapat mendekripsi nominal sumbangan historis donatur. Pengembangan mendatang menargetkan implementasi arsitektur Threshold Paillier (Dewangan &amp; Msahli, 2026), di mana kunci privat didekomposisi menjadi beberapa bagian rahasia (</w:t>
      </w:r>
      <w:r>
        <w:rPr>
          <w:rFonts w:ascii="Times New Roman" w:hAnsi="Times New Roman"/>
          <w:i/>
          <w:sz w:val="24"/>
        </w:rPr>
        <w:t>key shares</w:t>
      </w:r>
      <w:r>
        <w:rPr>
          <w:rFonts w:ascii="Times New Roman" w:hAnsi="Times New Roman"/>
          <w:sz w:val="24"/>
        </w:rPr>
        <w:t>) yang didistribusikan ke sejumlah node validator independen, sehingga proses dekripsi hanya dapat dilakukan melalui konsensus ambang batas tanpa adanya single point of failure.</w:t>
      </w:r>
    </w:p>
    <w:p>
      <w:pPr>
        <w:spacing w:before="180" w:after="40" w:line="276" w:lineRule="auto"/>
        <w:jc w:val="left"/>
      </w:pPr>
      <w:r>
        <w:rPr>
          <w:rFonts w:ascii="Times New Roman" w:hAnsi="Times New Roman"/>
          <w:b/>
          <w:sz w:val="24"/>
        </w:rPr>
        <w:t>KESIMPULAN</w:t>
      </w:r>
    </w:p>
    <w:p>
      <w:pPr>
        <w:spacing w:before="136" w:after="0" w:line="360" w:lineRule="auto"/>
        <w:ind w:firstLine="567"/>
        <w:jc w:val="both"/>
      </w:pPr>
      <w:r>
        <w:rPr>
          <w:rFonts w:ascii="Times New Roman" w:hAnsi="Times New Roman"/>
          <w:sz w:val="24"/>
        </w:rPr>
        <w:t xml:space="preserve">Penelitian ini telah berhasil mengembangkan dan mengevaluasi prototipe sistem donasi terdesentralisasi </w:t>
      </w:r>
      <w:r>
        <w:rPr>
          <w:rFonts w:ascii="Times New Roman" w:hAnsi="Times New Roman"/>
          <w:b/>
          <w:sz w:val="24"/>
        </w:rPr>
        <w:t>TrustGive</w:t>
      </w:r>
      <w:r>
        <w:rPr>
          <w:rFonts w:ascii="Times New Roman" w:hAnsi="Times New Roman"/>
          <w:sz w:val="24"/>
        </w:rPr>
        <w:t xml:space="preserve"> yang memadukan kriptosistem </w:t>
      </w:r>
      <w:r>
        <w:rPr>
          <w:rFonts w:ascii="Times New Roman" w:hAnsi="Times New Roman"/>
          <w:i/>
          <w:sz w:val="24"/>
        </w:rPr>
        <w:t>Additive Homomorphic Encryption</w:t>
      </w:r>
      <w:r>
        <w:rPr>
          <w:rFonts w:ascii="Times New Roman" w:hAnsi="Times New Roman"/>
          <w:sz w:val="24"/>
        </w:rPr>
        <w:t xml:space="preserve"> (AHE) Paillier, pembuktian tanpa pengetahuan zk-SNARK Groth16, dan kontrak pintar Ethereum Virtual Machine (EVM). Melalui pendekatan arsitektur hibrida 3-layer, TrustGive berhasil menjawab dilema antara akuntabilitas publik dan perlindungan privasi finansial donatur. Sistem mampu membuktikan keabsahan rentang nominal donasi secara on-chain tanpa membocorkan nominal </w:t>
      </w:r>
      <w:r>
        <w:rPr>
          <w:rFonts w:ascii="Times New Roman" w:hAnsi="Times New Roman"/>
          <w:i/>
          <w:sz w:val="24"/>
        </w:rPr>
        <w:t>plaintext</w:t>
      </w:r>
      <w:r>
        <w:rPr>
          <w:rFonts w:ascii="Times New Roman" w:hAnsi="Times New Roman"/>
          <w:sz w:val="24"/>
        </w:rPr>
        <w:t xml:space="preserve"> donatur ke buku besar publik, sekaligus menghitung akumulasi total donasi kampanye secara matematis melalui perkalian modular homomorfik.</w:t>
      </w:r>
    </w:p>
    <w:p>
      <w:pPr>
        <w:spacing w:before="136" w:after="0" w:line="360" w:lineRule="auto"/>
        <w:ind w:firstLine="567"/>
        <w:jc w:val="both"/>
      </w:pPr>
      <w:r>
        <w:rPr>
          <w:rFonts w:ascii="Times New Roman" w:hAnsi="Times New Roman"/>
          <w:sz w:val="24"/>
        </w:rPr>
        <w:t xml:space="preserve">Hasil pengujian empiris membuktikan bahwa integrasi kriptografi ini sangat layak diterapkan secara praktis: verifikasi bukti Groth16 pada kontrak pintar EVM hanya mengonsumsi rata-rata 243.518 gas, waktu agregasi aditif homomorfik Paillier berlangsung ultra-cepat dengan rata-rata 0,015 milidetik per transaksi, dan sirkuit Groth16 mampu menghasilkan bukti dalam waktu 412 milidetik. Selain itu, mekanisme idempotensi transaksi dan </w:t>
      </w:r>
      <w:r>
        <w:rPr>
          <w:rFonts w:ascii="Times New Roman" w:hAnsi="Times New Roman"/>
          <w:i/>
          <w:sz w:val="24"/>
        </w:rPr>
        <w:t>reconciliation worker</w:t>
      </w:r>
      <w:r>
        <w:rPr>
          <w:rFonts w:ascii="Times New Roman" w:hAnsi="Times New Roman"/>
          <w:sz w:val="24"/>
        </w:rPr>
        <w:t xml:space="preserve"> terbukti tangguh mengatasi anomali kegagalan </w:t>
      </w:r>
      <w:r>
        <w:rPr>
          <w:rFonts w:ascii="Times New Roman" w:hAnsi="Times New Roman"/>
          <w:i/>
          <w:sz w:val="24"/>
        </w:rPr>
        <w:t>dual-write</w:t>
      </w:r>
      <w:r>
        <w:rPr>
          <w:rFonts w:ascii="Times New Roman" w:hAnsi="Times New Roman"/>
          <w:sz w:val="24"/>
        </w:rPr>
        <w:t xml:space="preserve"> dan mencegah pencatatan ganda dalam kondisi konkurensi tinggi.</w:t>
      </w:r>
    </w:p>
    <w:p>
      <w:pPr>
        <w:spacing w:before="136" w:after="0" w:line="360" w:lineRule="auto"/>
        <w:ind w:firstLine="567"/>
        <w:jc w:val="both"/>
      </w:pPr>
      <w:r>
        <w:rPr>
          <w:rFonts w:ascii="Times New Roman" w:hAnsi="Times New Roman"/>
          <w:sz w:val="24"/>
        </w:rPr>
        <w:t xml:space="preserve">Penelitian masa depan diarahkan pada tiga agenda utama: (1) pengimplementasian protokol </w:t>
      </w:r>
      <w:r>
        <w:rPr>
          <w:rFonts w:ascii="Times New Roman" w:hAnsi="Times New Roman"/>
          <w:i/>
          <w:sz w:val="24"/>
        </w:rPr>
        <w:t>proof-to-ciphertext binding</w:t>
      </w:r>
      <w:r>
        <w:rPr>
          <w:rFonts w:ascii="Times New Roman" w:hAnsi="Times New Roman"/>
          <w:sz w:val="24"/>
        </w:rPr>
        <w:t xml:space="preserve"> berbasis skema </w:t>
      </w:r>
      <w:r>
        <w:rPr>
          <w:rFonts w:ascii="Times New Roman" w:hAnsi="Times New Roman"/>
          <w:i/>
          <w:sz w:val="24"/>
        </w:rPr>
        <w:t>SAVER</w:t>
      </w:r>
      <w:r>
        <w:rPr>
          <w:rFonts w:ascii="Times New Roman" w:hAnsi="Times New Roman"/>
          <w:sz w:val="24"/>
        </w:rPr>
        <w:t xml:space="preserve"> untuk mengeliminasi ketergantungan kepercayaan pada server backend; (2) penerapan skema </w:t>
      </w:r>
      <w:r>
        <w:rPr>
          <w:rFonts w:ascii="Times New Roman" w:hAnsi="Times New Roman"/>
          <w:i/>
          <w:sz w:val="24"/>
        </w:rPr>
        <w:t>Threshold Paillier</w:t>
      </w:r>
      <w:r>
        <w:rPr>
          <w:rFonts w:ascii="Times New Roman" w:hAnsi="Times New Roman"/>
          <w:sz w:val="24"/>
        </w:rPr>
        <w:t xml:space="preserve"> guna mendistribusikan kewenangan dekripsi kunci privat kepada konsorsium auditor terdesentralisasi; serta (3) migrasi modul pembuktian ZK dan enkripsi Paillier sepenuhnya ke sisi peramban klien (</w:t>
      </w:r>
      <w:r>
        <w:rPr>
          <w:rFonts w:ascii="Times New Roman" w:hAnsi="Times New Roman"/>
          <w:i/>
          <w:sz w:val="24"/>
        </w:rPr>
        <w:t>client-side prover</w:t>
      </w:r>
      <w:r>
        <w:rPr>
          <w:rFonts w:ascii="Times New Roman" w:hAnsi="Times New Roman"/>
          <w:sz w:val="24"/>
        </w:rPr>
        <w:t>) demi menjamin kedaulatan privasi donatur secara menyeluruh.</w:t>
      </w:r>
    </w:p>
    <w:p>
      <w:pPr>
        <w:spacing w:before="180" w:after="40" w:line="276" w:lineRule="auto"/>
        <w:jc w:val="left"/>
      </w:pPr>
      <w:r>
        <w:rPr>
          <w:rFonts w:ascii="Times New Roman" w:hAnsi="Times New Roman"/>
          <w:b/>
          <w:sz w:val="24"/>
        </w:rPr>
        <w:t>DAFTAR PUSTAKA</w:t>
      </w:r>
    </w:p>
    <w:p>
      <w:pPr>
        <w:spacing w:before="0" w:after="80" w:line="240" w:lineRule="auto"/>
        <w:ind w:left="567" w:hanging="567"/>
        <w:jc w:val="both"/>
      </w:pPr>
      <w:r>
        <w:rPr>
          <w:rFonts w:ascii="Times New Roman" w:hAnsi="Times New Roman"/>
          <w:sz w:val="22"/>
        </w:rPr>
        <w:t xml:space="preserve">Almaghrabi, A., &amp; Alhogail, A. (2022). Blockchain-based donations traceability framework. </w:t>
      </w:r>
      <w:r>
        <w:rPr>
          <w:rFonts w:ascii="Times New Roman" w:hAnsi="Times New Roman"/>
          <w:i/>
          <w:sz w:val="22"/>
        </w:rPr>
        <w:t>Journal of King Saud University - Computer and Information Sciences</w:t>
      </w:r>
      <w:r>
        <w:rPr>
          <w:rFonts w:ascii="Times New Roman" w:hAnsi="Times New Roman"/>
          <w:sz w:val="22"/>
        </w:rPr>
        <w:t>, 34(10, Part A), 9442–9454. https://doi.org/10.1016/j.jksuci.2022.09.021</w:t>
      </w:r>
    </w:p>
    <w:p>
      <w:pPr>
        <w:spacing w:before="0" w:after="80" w:line="240" w:lineRule="auto"/>
        <w:ind w:left="567" w:hanging="567"/>
        <w:jc w:val="both"/>
      </w:pPr>
      <w:r>
        <w:rPr>
          <w:rFonts w:ascii="Times New Roman" w:hAnsi="Times New Roman"/>
          <w:sz w:val="22"/>
        </w:rPr>
        <w:t xml:space="preserve">Babel, M., &amp; Sedlmeir, J. (2023). Bringing data minimization to digital wallets at scale with general-purpose zero-knowledge proofs. </w:t>
      </w:r>
      <w:r>
        <w:rPr>
          <w:rFonts w:ascii="Times New Roman" w:hAnsi="Times New Roman"/>
          <w:i/>
          <w:sz w:val="22"/>
        </w:rPr>
        <w:t>arXiv Preprint</w:t>
      </w:r>
      <w:r>
        <w:rPr>
          <w:rFonts w:ascii="Times New Roman" w:hAnsi="Times New Roman"/>
          <w:sz w:val="22"/>
        </w:rPr>
        <w:t>, arXiv:2301.00823. https://doi.org/10.48550/arXiv.2301.00823</w:t>
      </w:r>
    </w:p>
    <w:p>
      <w:pPr>
        <w:spacing w:before="0" w:after="80" w:line="240" w:lineRule="auto"/>
        <w:ind w:left="567" w:hanging="567"/>
        <w:jc w:val="both"/>
      </w:pPr>
      <w:r>
        <w:rPr>
          <w:rFonts w:ascii="Times New Roman" w:hAnsi="Times New Roman"/>
          <w:sz w:val="22"/>
        </w:rPr>
        <w:t xml:space="preserve">Bünz, B., Agrawal, S., Zamani, M., &amp; Boneh, D. (2020). Zether: Towards Privacy in a Smart Contract World. In </w:t>
      </w:r>
      <w:r>
        <w:rPr>
          <w:rFonts w:ascii="Times New Roman" w:hAnsi="Times New Roman"/>
          <w:i/>
          <w:sz w:val="22"/>
        </w:rPr>
        <w:t>Financial Cryptography and Data Security (FC 2020)</w:t>
      </w:r>
      <w:r>
        <w:rPr>
          <w:rFonts w:ascii="Times New Roman" w:hAnsi="Times New Roman"/>
          <w:sz w:val="22"/>
        </w:rPr>
        <w:t xml:space="preserve"> (Vol. 12059, pp. 423–443). Springer, Cham. https://doi.org/10.1007/978-3-030-51280-4_14</w:t>
      </w:r>
    </w:p>
    <w:p>
      <w:pPr>
        <w:spacing w:before="0" w:after="80" w:line="240" w:lineRule="auto"/>
        <w:ind w:left="567" w:hanging="567"/>
        <w:jc w:val="both"/>
      </w:pPr>
      <w:r>
        <w:rPr>
          <w:rFonts w:ascii="Times New Roman" w:hAnsi="Times New Roman"/>
          <w:sz w:val="22"/>
        </w:rPr>
        <w:t xml:space="preserve">Burgos, A., &amp; Alchieri, E. (2025). Privacy-Preserving Smart Contracts for Permissioned Blockchains: A zk-SNARK-Based Recipe Part-1. </w:t>
      </w:r>
      <w:r>
        <w:rPr>
          <w:rFonts w:ascii="Times New Roman" w:hAnsi="Times New Roman"/>
          <w:i/>
          <w:sz w:val="22"/>
        </w:rPr>
        <w:t>arXiv Preprint</w:t>
      </w:r>
      <w:r>
        <w:rPr>
          <w:rFonts w:ascii="Times New Roman" w:hAnsi="Times New Roman"/>
          <w:sz w:val="22"/>
        </w:rPr>
        <w:t>, arXiv:2501.03391. https://doi.org/10.48550/arXiv.2501.03391</w:t>
      </w:r>
    </w:p>
    <w:p>
      <w:pPr>
        <w:spacing w:before="0" w:after="80" w:line="240" w:lineRule="auto"/>
        <w:ind w:left="567" w:hanging="567"/>
        <w:jc w:val="both"/>
      </w:pPr>
      <w:r>
        <w:rPr>
          <w:rFonts w:ascii="Times New Roman" w:hAnsi="Times New Roman"/>
          <w:sz w:val="22"/>
        </w:rPr>
        <w:t xml:space="preserve">Chaliasos, S., Ernstberger, J., Wong, D., Jovanovic, P., &amp; Livshits, B. (2024). SoK: What don't we know? Understanding Security Vulnerabilities in SNARKs. In </w:t>
      </w:r>
      <w:r>
        <w:rPr>
          <w:rFonts w:ascii="Times New Roman" w:hAnsi="Times New Roman"/>
          <w:i/>
          <w:sz w:val="22"/>
        </w:rPr>
        <w:t>33rd USENIX Security Symposium (USENIX Security 24)</w:t>
      </w:r>
      <w:r>
        <w:rPr>
          <w:rFonts w:ascii="Times New Roman" w:hAnsi="Times New Roman"/>
          <w:sz w:val="22"/>
        </w:rPr>
        <w:t xml:space="preserve"> (pp. 519–536). USENIX Association. https://www.usenix.org/conference/usenixsecurity24/presentation/chaliasos</w:t>
      </w:r>
    </w:p>
    <w:p>
      <w:pPr>
        <w:spacing w:before="0" w:after="80" w:line="240" w:lineRule="auto"/>
        <w:ind w:left="567" w:hanging="567"/>
        <w:jc w:val="both"/>
      </w:pPr>
      <w:r>
        <w:rPr>
          <w:rFonts w:ascii="Times New Roman" w:hAnsi="Times New Roman"/>
          <w:sz w:val="22"/>
        </w:rPr>
        <w:t xml:space="preserve">Christ, M., Baldimtsi, F., Chalkias, K., &amp; Roy, A. (2024). SoK: Zero-Knowledge Range Proofs. In </w:t>
      </w:r>
      <w:r>
        <w:rPr>
          <w:rFonts w:ascii="Times New Roman" w:hAnsi="Times New Roman"/>
          <w:i/>
          <w:sz w:val="22"/>
        </w:rPr>
        <w:t>6th Conference on Advances in Financial Technologies (AFT 2024)</w:t>
      </w:r>
      <w:r>
        <w:rPr>
          <w:rFonts w:ascii="Times New Roman" w:hAnsi="Times New Roman"/>
          <w:sz w:val="22"/>
        </w:rPr>
        <w:t xml:space="preserve"> (Vol. 316, pp. 8:1–8:24). Schloss Dagstuhl – Leibniz-Zentrum für Informatik. https://doi.org/10.4230/LIPIcs.AFT.2024.8</w:t>
      </w:r>
    </w:p>
    <w:p>
      <w:pPr>
        <w:spacing w:before="0" w:after="80" w:line="240" w:lineRule="auto"/>
        <w:ind w:left="567" w:hanging="567"/>
        <w:jc w:val="both"/>
      </w:pPr>
      <w:r>
        <w:rPr>
          <w:rFonts w:ascii="Times New Roman" w:hAnsi="Times New Roman"/>
          <w:sz w:val="22"/>
        </w:rPr>
        <w:t xml:space="preserve">Damle, S., Gujar, S., &amp; Moti, M. H. (2021). FASTEN: Fair and Secure Distributed Voting Using Smart Contracts. </w:t>
      </w:r>
      <w:r>
        <w:rPr>
          <w:rFonts w:ascii="Times New Roman" w:hAnsi="Times New Roman"/>
          <w:i/>
          <w:sz w:val="22"/>
        </w:rPr>
        <w:t>arXiv Preprint</w:t>
      </w:r>
      <w:r>
        <w:rPr>
          <w:rFonts w:ascii="Times New Roman" w:hAnsi="Times New Roman"/>
          <w:sz w:val="22"/>
        </w:rPr>
        <w:t>, arXiv:2102.10594. https://doi.org/10.48550/arXiv.2102.10594</w:t>
      </w:r>
    </w:p>
    <w:p>
      <w:pPr>
        <w:spacing w:before="0" w:after="80" w:line="240" w:lineRule="auto"/>
        <w:ind w:left="567" w:hanging="567"/>
        <w:jc w:val="both"/>
      </w:pPr>
      <w:r>
        <w:rPr>
          <w:rFonts w:ascii="Times New Roman" w:hAnsi="Times New Roman"/>
          <w:sz w:val="22"/>
        </w:rPr>
        <w:t xml:space="preserve">Dewangan, S., &amp; Msahli, M. (2026). A Threshold Homomorphic Blockchain Architecture for Secure and Scalable IoT Sensor Data Aggregation. </w:t>
      </w:r>
      <w:r>
        <w:rPr>
          <w:rFonts w:ascii="Times New Roman" w:hAnsi="Times New Roman"/>
          <w:i/>
          <w:sz w:val="22"/>
        </w:rPr>
        <w:t>arXiv Preprint</w:t>
      </w:r>
      <w:r>
        <w:rPr>
          <w:rFonts w:ascii="Times New Roman" w:hAnsi="Times New Roman"/>
          <w:sz w:val="22"/>
        </w:rPr>
        <w:t>, arXiv:2608.23396. https://doi.org/10.48550/arXiv.2608.23396</w:t>
      </w:r>
    </w:p>
    <w:p>
      <w:pPr>
        <w:spacing w:before="0" w:after="80" w:line="240" w:lineRule="auto"/>
        <w:ind w:left="567" w:hanging="567"/>
        <w:jc w:val="both"/>
      </w:pPr>
      <w:r>
        <w:rPr>
          <w:rFonts w:ascii="Times New Roman" w:hAnsi="Times New Roman"/>
          <w:sz w:val="22"/>
        </w:rPr>
        <w:t xml:space="preserve">Grassi, L., Khovratovich, D., Rechberger, C., Roy, A., &amp; Schofnegger, M. (2021). Poseidon: A New Hash Function for Zero-Knowledge Proof Systems. In </w:t>
      </w:r>
      <w:r>
        <w:rPr>
          <w:rFonts w:ascii="Times New Roman" w:hAnsi="Times New Roman"/>
          <w:i/>
          <w:sz w:val="22"/>
        </w:rPr>
        <w:t>30th USENIX Security Symposium (USENIX Security 21)</w:t>
      </w:r>
      <w:r>
        <w:rPr>
          <w:rFonts w:ascii="Times New Roman" w:hAnsi="Times New Roman"/>
          <w:sz w:val="22"/>
        </w:rPr>
        <w:t xml:space="preserve"> (pp. 519–535). USENIX Association. https://www.usenix.org/conference/usenixsecurity21/presentation/grassi</w:t>
      </w:r>
    </w:p>
    <w:p>
      <w:pPr>
        <w:spacing w:before="0" w:after="80" w:line="240" w:lineRule="auto"/>
        <w:ind w:left="567" w:hanging="567"/>
        <w:jc w:val="both"/>
      </w:pPr>
      <w:r>
        <w:rPr>
          <w:rFonts w:ascii="Times New Roman" w:hAnsi="Times New Roman"/>
          <w:sz w:val="22"/>
        </w:rPr>
        <w:t xml:space="preserve">Groth, J. (2016). On the Size of Pairing-based Non-interactive Arguments. In </w:t>
      </w:r>
      <w:r>
        <w:rPr>
          <w:rFonts w:ascii="Times New Roman" w:hAnsi="Times New Roman"/>
          <w:i/>
          <w:sz w:val="22"/>
        </w:rPr>
        <w:t>Advances in Cryptology – EUROCRYPT 2016</w:t>
      </w:r>
      <w:r>
        <w:rPr>
          <w:rFonts w:ascii="Times New Roman" w:hAnsi="Times New Roman"/>
          <w:sz w:val="22"/>
        </w:rPr>
        <w:t xml:space="preserve"> (Vol. 9666, pp. 305–326). Springer, Berlin, Heidelberg. https://doi.org/10.1007/978-3-662-49896-5_11</w:t>
      </w:r>
    </w:p>
    <w:p>
      <w:pPr>
        <w:spacing w:before="0" w:after="80" w:line="240" w:lineRule="auto"/>
        <w:ind w:left="567" w:hanging="567"/>
        <w:jc w:val="both"/>
      </w:pPr>
      <w:r>
        <w:rPr>
          <w:rFonts w:ascii="Times New Roman" w:hAnsi="Times New Roman"/>
          <w:sz w:val="22"/>
        </w:rPr>
        <w:t xml:space="preserve">Habib Nayan, M. A. (2025). Analyzing Performance Bottlenecks in Zero-Knowledge Proof Based Rollups on Ethereum. </w:t>
      </w:r>
      <w:r>
        <w:rPr>
          <w:rFonts w:ascii="Times New Roman" w:hAnsi="Times New Roman"/>
          <w:i/>
          <w:sz w:val="22"/>
        </w:rPr>
        <w:t>arXiv Preprint</w:t>
      </w:r>
      <w:r>
        <w:rPr>
          <w:rFonts w:ascii="Times New Roman" w:hAnsi="Times New Roman"/>
          <w:sz w:val="22"/>
        </w:rPr>
        <w:t>, arXiv:2503.22709. https://doi.org/10.48550/arXiv.2503.22709</w:t>
      </w:r>
    </w:p>
    <w:p>
      <w:pPr>
        <w:spacing w:before="0" w:after="80" w:line="240" w:lineRule="auto"/>
        <w:ind w:left="567" w:hanging="567"/>
        <w:jc w:val="both"/>
      </w:pPr>
      <w:r>
        <w:rPr>
          <w:rFonts w:ascii="Times New Roman" w:hAnsi="Times New Roman"/>
          <w:sz w:val="22"/>
        </w:rPr>
        <w:t xml:space="preserve">He, B., Feng, T., Fang, J., Liu, C., &amp; Su, C. (2024). A Secure and Efficient Charitable Donation System Based on Ethereum Blockchain and Searchable Encryption. </w:t>
      </w:r>
      <w:r>
        <w:rPr>
          <w:rFonts w:ascii="Times New Roman" w:hAnsi="Times New Roman"/>
          <w:i/>
          <w:sz w:val="22"/>
        </w:rPr>
        <w:t>IEEE Transactions on Consumer Electronics</w:t>
      </w:r>
      <w:r>
        <w:rPr>
          <w:rFonts w:ascii="Times New Roman" w:hAnsi="Times New Roman"/>
          <w:sz w:val="22"/>
        </w:rPr>
        <w:t>, 70(1), 2977–2987. https://doi.org/10.1109/TCE.2023.3323356</w:t>
      </w:r>
    </w:p>
    <w:p>
      <w:pPr>
        <w:spacing w:before="0" w:after="80" w:line="240" w:lineRule="auto"/>
        <w:ind w:left="567" w:hanging="567"/>
        <w:jc w:val="both"/>
      </w:pPr>
      <w:r>
        <w:rPr>
          <w:rFonts w:ascii="Times New Roman" w:hAnsi="Times New Roman"/>
          <w:sz w:val="22"/>
        </w:rPr>
        <w:t xml:space="preserve">Lavin, R., Liu, X., Mohanty, H., de la Rocha, A. S., &amp; Xu, M. (2024). A Survey on the Applications of Zero-Knowledge Proofs. </w:t>
      </w:r>
      <w:r>
        <w:rPr>
          <w:rFonts w:ascii="Times New Roman" w:hAnsi="Times New Roman"/>
          <w:i/>
          <w:sz w:val="22"/>
        </w:rPr>
        <w:t>arXiv Preprint</w:t>
      </w:r>
      <w:r>
        <w:rPr>
          <w:rFonts w:ascii="Times New Roman" w:hAnsi="Times New Roman"/>
          <w:sz w:val="22"/>
        </w:rPr>
        <w:t>, arXiv:2408.00243. https://doi.org/10.48550/arXiv.2408.00243</w:t>
      </w:r>
    </w:p>
    <w:p>
      <w:pPr>
        <w:spacing w:before="0" w:after="80" w:line="240" w:lineRule="auto"/>
        <w:ind w:left="567" w:hanging="567"/>
        <w:jc w:val="both"/>
      </w:pPr>
      <w:r>
        <w:rPr>
          <w:rFonts w:ascii="Times New Roman" w:hAnsi="Times New Roman"/>
          <w:sz w:val="22"/>
        </w:rPr>
        <w:t xml:space="preserve">Lee, J., Choi, H., Kim, J., &amp; Oh, H. (2019). SAVER: SNARK-friendly, Additively-homomorphic, and Verifiable Encryption and decryption with Rerandomization. </w:t>
      </w:r>
      <w:r>
        <w:rPr>
          <w:rFonts w:ascii="Times New Roman" w:hAnsi="Times New Roman"/>
          <w:i/>
          <w:sz w:val="22"/>
        </w:rPr>
        <w:t>Cryptology ePrint Archive</w:t>
      </w:r>
      <w:r>
        <w:rPr>
          <w:rFonts w:ascii="Times New Roman" w:hAnsi="Times New Roman"/>
          <w:sz w:val="22"/>
        </w:rPr>
        <w:t>, Report 2019/1270. https://eprint.iacr.org/2019/1270</w:t>
      </w:r>
    </w:p>
    <w:p>
      <w:pPr>
        <w:spacing w:before="0" w:after="80" w:line="240" w:lineRule="auto"/>
        <w:ind w:left="567" w:hanging="567"/>
        <w:jc w:val="both"/>
      </w:pPr>
      <w:r>
        <w:rPr>
          <w:rFonts w:ascii="Times New Roman" w:hAnsi="Times New Roman"/>
          <w:sz w:val="22"/>
        </w:rPr>
        <w:t xml:space="preserve">Li, M., Chen, Y., Zhu, L., Zhang, Z., Ni, J., &amp; Conti, M. (2023). Astraea: Anonymous and Secure Auditing Based On Private Smart Contracts for Donation Systems. </w:t>
      </w:r>
      <w:r>
        <w:rPr>
          <w:rFonts w:ascii="Times New Roman" w:hAnsi="Times New Roman"/>
          <w:i/>
          <w:sz w:val="22"/>
        </w:rPr>
        <w:t>IEEE Transactions on Dependable and Secure Computing</w:t>
      </w:r>
      <w:r>
        <w:rPr>
          <w:rFonts w:ascii="Times New Roman" w:hAnsi="Times New Roman"/>
          <w:sz w:val="22"/>
        </w:rPr>
        <w:t>, 20(4), 3002–3018. https://doi.org/10.1109/TDSC.2022.3204287</w:t>
      </w:r>
    </w:p>
    <w:p>
      <w:pPr>
        <w:spacing w:before="0" w:after="80" w:line="240" w:lineRule="auto"/>
        <w:ind w:left="567" w:hanging="567"/>
        <w:jc w:val="both"/>
      </w:pPr>
      <w:r>
        <w:rPr>
          <w:rFonts w:ascii="Times New Roman" w:hAnsi="Times New Roman"/>
          <w:sz w:val="22"/>
        </w:rPr>
        <w:t xml:space="preserve">Morais, E., Koens, T., van Wijk, C., &amp; Koren, A. (2020). A Survey on Zero Knowledge Range Proofs and Applications. </w:t>
      </w:r>
      <w:r>
        <w:rPr>
          <w:rFonts w:ascii="Times New Roman" w:hAnsi="Times New Roman"/>
          <w:i/>
          <w:sz w:val="22"/>
        </w:rPr>
        <w:t>arXiv Preprint</w:t>
      </w:r>
      <w:r>
        <w:rPr>
          <w:rFonts w:ascii="Times New Roman" w:hAnsi="Times New Roman"/>
          <w:sz w:val="22"/>
        </w:rPr>
        <w:t>, arXiv:1907.06381. https://doi.org/10.48550/arXiv.1907.06381</w:t>
      </w:r>
    </w:p>
    <w:p>
      <w:pPr>
        <w:spacing w:before="0" w:after="80" w:line="240" w:lineRule="auto"/>
        <w:ind w:left="567" w:hanging="567"/>
        <w:jc w:val="both"/>
      </w:pPr>
      <w:r>
        <w:rPr>
          <w:rFonts w:ascii="Times New Roman" w:hAnsi="Times New Roman"/>
          <w:sz w:val="22"/>
        </w:rPr>
        <w:t xml:space="preserve">Moti, M. H., &amp; Gujar, S. (2024). VPAS: Publicly Verifiable and Privacy-Preserving Aggregate Statistics on Distributed Datasets. </w:t>
      </w:r>
      <w:r>
        <w:rPr>
          <w:rFonts w:ascii="Times New Roman" w:hAnsi="Times New Roman"/>
          <w:i/>
          <w:sz w:val="22"/>
        </w:rPr>
        <w:t>arXiv Preprint</w:t>
      </w:r>
      <w:r>
        <w:rPr>
          <w:rFonts w:ascii="Times New Roman" w:hAnsi="Times New Roman"/>
          <w:sz w:val="22"/>
        </w:rPr>
        <w:t>, arXiv:2403.15208. https://doi.org/10.48550/arXiv.2403.15208</w:t>
      </w:r>
    </w:p>
    <w:p>
      <w:pPr>
        <w:spacing w:before="0" w:after="80" w:line="240" w:lineRule="auto"/>
        <w:ind w:left="567" w:hanging="567"/>
        <w:jc w:val="both"/>
      </w:pPr>
      <w:r>
        <w:rPr>
          <w:rFonts w:ascii="Times New Roman" w:hAnsi="Times New Roman"/>
          <w:sz w:val="22"/>
        </w:rPr>
        <w:t xml:space="preserve">Muñoz-Tapia, J. L., Bellés-Muñoz, M., Isabel, M., &amp; Rubio, A. (2022). CIRCOM: A Robust and Scalable Language for Building Complex Zero-Knowledge Circuits. </w:t>
      </w:r>
      <w:r>
        <w:rPr>
          <w:rFonts w:ascii="Times New Roman" w:hAnsi="Times New Roman"/>
          <w:i/>
          <w:sz w:val="22"/>
        </w:rPr>
        <w:t>TechRxiv Preprint</w:t>
      </w:r>
      <w:r>
        <w:rPr>
          <w:rFonts w:ascii="Times New Roman" w:hAnsi="Times New Roman"/>
          <w:sz w:val="22"/>
        </w:rPr>
        <w:t>. https://doi.org/10.36227/techrxiv.19374986.v1</w:t>
      </w:r>
    </w:p>
    <w:p>
      <w:pPr>
        <w:spacing w:before="0" w:after="80" w:line="240" w:lineRule="auto"/>
        <w:ind w:left="567" w:hanging="567"/>
        <w:jc w:val="both"/>
      </w:pPr>
      <w:r>
        <w:rPr>
          <w:rFonts w:ascii="Times New Roman" w:hAnsi="Times New Roman"/>
          <w:sz w:val="22"/>
        </w:rPr>
        <w:t xml:space="preserve">Nairi, C., Cicioğlu, M., &amp; Çalhan, A. (2024). Smart Blockchain Networks: Revolutionizing Donation Tracking in the Web 3.0. </w:t>
      </w:r>
      <w:r>
        <w:rPr>
          <w:rFonts w:ascii="Times New Roman" w:hAnsi="Times New Roman"/>
          <w:i/>
          <w:sz w:val="22"/>
        </w:rPr>
        <w:t>Computer Communications</w:t>
      </w:r>
      <w:r>
        <w:rPr>
          <w:rFonts w:ascii="Times New Roman" w:hAnsi="Times New Roman"/>
          <w:sz w:val="22"/>
        </w:rPr>
        <w:t>, 228, 107981. https://doi.org/10.1016/j.comcom.2024.08.012</w:t>
      </w:r>
    </w:p>
    <w:p>
      <w:pPr>
        <w:spacing w:before="0" w:after="80" w:line="240" w:lineRule="auto"/>
        <w:ind w:left="567" w:hanging="567"/>
        <w:jc w:val="both"/>
      </w:pPr>
      <w:r>
        <w:rPr>
          <w:rFonts w:ascii="Times New Roman" w:hAnsi="Times New Roman"/>
          <w:sz w:val="22"/>
        </w:rPr>
        <w:t xml:space="preserve">Quintero-Narvaez, C. E., et al. (2023). Zero-Knowledge Proofs for Questionnaire Result Verification in Smart Contracts. </w:t>
      </w:r>
      <w:r>
        <w:rPr>
          <w:rFonts w:ascii="Times New Roman" w:hAnsi="Times New Roman"/>
          <w:i/>
          <w:sz w:val="22"/>
        </w:rPr>
        <w:t>arXiv Preprint</w:t>
      </w:r>
      <w:r>
        <w:rPr>
          <w:rFonts w:ascii="Times New Roman" w:hAnsi="Times New Roman"/>
          <w:sz w:val="22"/>
        </w:rPr>
        <w:t>, arXiv:2310.13618. https://doi.org/10.48550/arXiv.2310.13618</w:t>
      </w:r>
    </w:p>
    <w:p>
      <w:pPr>
        <w:spacing w:before="0" w:after="80" w:line="240" w:lineRule="auto"/>
        <w:ind w:left="567" w:hanging="567"/>
        <w:jc w:val="both"/>
      </w:pPr>
      <w:r>
        <w:rPr>
          <w:rFonts w:ascii="Times New Roman" w:hAnsi="Times New Roman"/>
          <w:sz w:val="22"/>
        </w:rPr>
        <w:t xml:space="preserve">Ren, J., et al. (2021). Cloak: Enabling Confidential Smart Contract With Multi-Party Transactions. </w:t>
      </w:r>
      <w:r>
        <w:rPr>
          <w:rFonts w:ascii="Times New Roman" w:hAnsi="Times New Roman"/>
          <w:i/>
          <w:sz w:val="22"/>
        </w:rPr>
        <w:t>arXiv Preprint</w:t>
      </w:r>
      <w:r>
        <w:rPr>
          <w:rFonts w:ascii="Times New Roman" w:hAnsi="Times New Roman"/>
          <w:sz w:val="22"/>
        </w:rPr>
        <w:t>, arXiv:2106.13926. https://doi.org/10.48550/arXiv.2106.13926</w:t>
      </w:r>
    </w:p>
    <w:p>
      <w:pPr>
        <w:spacing w:before="0" w:after="80" w:line="240" w:lineRule="auto"/>
        <w:ind w:left="567" w:hanging="567"/>
        <w:jc w:val="both"/>
      </w:pPr>
      <w:r>
        <w:rPr>
          <w:rFonts w:ascii="Times New Roman" w:hAnsi="Times New Roman"/>
          <w:sz w:val="22"/>
        </w:rPr>
        <w:t xml:space="preserve">Sameera, K. M., Nicolazzo, S., Arazzi, M., Nocera, A., Vinod, P., &amp; Conti, M. (2024). Privacy-preserving in Blockchain-based Federated Learning Systems: A Survey. </w:t>
      </w:r>
      <w:r>
        <w:rPr>
          <w:rFonts w:ascii="Times New Roman" w:hAnsi="Times New Roman"/>
          <w:i/>
          <w:sz w:val="22"/>
        </w:rPr>
        <w:t>Computer Communications</w:t>
      </w:r>
      <w:r>
        <w:rPr>
          <w:rFonts w:ascii="Times New Roman" w:hAnsi="Times New Roman"/>
          <w:sz w:val="22"/>
        </w:rPr>
        <w:t>, 218, 142–165. https://doi.org/10.48550/arXiv.2401.03552</w:t>
      </w:r>
    </w:p>
    <w:p>
      <w:pPr>
        <w:spacing w:before="0" w:after="80" w:line="240" w:lineRule="auto"/>
        <w:ind w:left="567" w:hanging="567"/>
        <w:jc w:val="both"/>
      </w:pPr>
      <w:r>
        <w:rPr>
          <w:rFonts w:ascii="Times New Roman" w:hAnsi="Times New Roman"/>
          <w:sz w:val="22"/>
        </w:rPr>
        <w:t xml:space="preserve">Saraswat, D., Patel, F., Bhattacharya, P., &amp; Tanwar, S. (2022). UpHaaR: Blockchain-based charity donation scheme to handle financial irregularities. </w:t>
      </w:r>
      <w:r>
        <w:rPr>
          <w:rFonts w:ascii="Times New Roman" w:hAnsi="Times New Roman"/>
          <w:i/>
          <w:sz w:val="22"/>
        </w:rPr>
        <w:t>Journal of Information Security and Applications</w:t>
      </w:r>
      <w:r>
        <w:rPr>
          <w:rFonts w:ascii="Times New Roman" w:hAnsi="Times New Roman"/>
          <w:sz w:val="22"/>
        </w:rPr>
        <w:t>, 70, 103245. https://doi.org/10.1016/j.jisa.2022.103245</w:t>
      </w:r>
    </w:p>
    <w:p>
      <w:pPr>
        <w:spacing w:before="0" w:after="80" w:line="240" w:lineRule="auto"/>
        <w:ind w:left="567" w:hanging="567"/>
        <w:jc w:val="both"/>
      </w:pPr>
      <w:r>
        <w:rPr>
          <w:rFonts w:ascii="Times New Roman" w:hAnsi="Times New Roman"/>
          <w:sz w:val="22"/>
        </w:rPr>
        <w:t xml:space="preserve">Steffen, S., Bichsel, B., Baumgartner, R., &amp; Vechev, M. (2022). ZeeStar: Private Smart Contracts by Homomorphic Encryption and Zero-Knowledge Proofs. In </w:t>
      </w:r>
      <w:r>
        <w:rPr>
          <w:rFonts w:ascii="Times New Roman" w:hAnsi="Times New Roman"/>
          <w:i/>
          <w:sz w:val="22"/>
        </w:rPr>
        <w:t>2022 IEEE Symposium on Security and Privacy (S&amp;P)</w:t>
      </w:r>
      <w:r>
        <w:rPr>
          <w:rFonts w:ascii="Times New Roman" w:hAnsi="Times New Roman"/>
          <w:sz w:val="22"/>
        </w:rPr>
        <w:t xml:space="preserve"> (pp. 936–953). IEEE. https://doi.org/10.1109/SP46214.2022.9833633</w:t>
      </w:r>
    </w:p>
    <w:p>
      <w:pPr>
        <w:spacing w:before="0" w:after="80" w:line="240" w:lineRule="auto"/>
        <w:ind w:left="567" w:hanging="567"/>
        <w:jc w:val="both"/>
      </w:pPr>
      <w:r>
        <w:rPr>
          <w:rFonts w:ascii="Times New Roman" w:hAnsi="Times New Roman"/>
          <w:sz w:val="22"/>
        </w:rPr>
        <w:t xml:space="preserve">Unsal, M. S. (2025). Blockchain and Stablecoin Integration for Crowdfunding: A framework for enhanced efficiency, security, and liquidity. </w:t>
      </w:r>
      <w:r>
        <w:rPr>
          <w:rFonts w:ascii="Times New Roman" w:hAnsi="Times New Roman"/>
          <w:i/>
          <w:sz w:val="22"/>
        </w:rPr>
        <w:t>arXiv Preprint</w:t>
      </w:r>
      <w:r>
        <w:rPr>
          <w:rFonts w:ascii="Times New Roman" w:hAnsi="Times New Roman"/>
          <w:sz w:val="22"/>
        </w:rPr>
        <w:t>, arXiv:2501.11145. https://doi.org/10.48550/arXiv.2501.11145</w:t>
      </w:r>
    </w:p>
    <w:p>
      <w:pPr>
        <w:spacing w:before="0" w:after="80" w:line="240" w:lineRule="auto"/>
        <w:ind w:left="567" w:hanging="567"/>
        <w:jc w:val="both"/>
      </w:pPr>
      <w:r>
        <w:rPr>
          <w:rFonts w:ascii="Times New Roman" w:hAnsi="Times New Roman"/>
          <w:sz w:val="22"/>
        </w:rPr>
        <w:t xml:space="preserve">Wang, T., Lin, Z., Düdder, B., et al. (2024). Linking Souls to Humans: Blockchain Accounts with Credible Anonymity for Web 3.0 Decentralized Identity. In </w:t>
      </w:r>
      <w:r>
        <w:rPr>
          <w:rFonts w:ascii="Times New Roman" w:hAnsi="Times New Roman"/>
          <w:i/>
          <w:sz w:val="22"/>
        </w:rPr>
        <w:t>Proceedings of the ACM Web Conference 2024</w:t>
      </w:r>
      <w:r>
        <w:rPr>
          <w:rFonts w:ascii="Times New Roman" w:hAnsi="Times New Roman"/>
          <w:sz w:val="22"/>
        </w:rPr>
        <w:t>. ACM. https://doi.org/10.1145/3696410.3714784</w:t>
      </w:r>
    </w:p>
    <w:p>
      <w:pPr>
        <w:spacing w:before="0" w:after="80" w:line="240" w:lineRule="auto"/>
        <w:ind w:left="567" w:hanging="567"/>
        <w:jc w:val="both"/>
      </w:pPr>
      <w:r>
        <w:rPr>
          <w:rFonts w:ascii="Times New Roman" w:hAnsi="Times New Roman"/>
          <w:sz w:val="22"/>
        </w:rPr>
        <w:t xml:space="preserve">Yang, H., et al. (2023). Enhancing SCF with Privacy-Preserving and Splitting-Enabled E-Bills on Blockchain. </w:t>
      </w:r>
      <w:r>
        <w:rPr>
          <w:rFonts w:ascii="Times New Roman" w:hAnsi="Times New Roman"/>
          <w:i/>
          <w:sz w:val="22"/>
        </w:rPr>
        <w:t>arXiv Preprint</w:t>
      </w:r>
      <w:r>
        <w:rPr>
          <w:rFonts w:ascii="Times New Roman" w:hAnsi="Times New Roman"/>
          <w:sz w:val="22"/>
        </w:rPr>
        <w:t>, arXiv:2308.10020. https://doi.org/10.48550/arXiv.2308.10020</w:t>
      </w:r>
    </w:p>
    <w:p>
      <w:pPr>
        <w:spacing w:before="0" w:after="80" w:line="240" w:lineRule="auto"/>
        <w:ind w:left="567" w:hanging="567"/>
        <w:jc w:val="both"/>
      </w:pPr>
      <w:r>
        <w:rPr>
          <w:rFonts w:ascii="Times New Roman" w:hAnsi="Times New Roman"/>
          <w:sz w:val="22"/>
        </w:rPr>
        <w:t xml:space="preserve">Zhou, Y., Lei, H., &amp; Bao, Z. (2024). Eisdspa: An Efficient and Secure Blockchain-Based Donation Scheme with Privacy Protection and Auditability. </w:t>
      </w:r>
      <w:r>
        <w:rPr>
          <w:rFonts w:ascii="Times New Roman" w:hAnsi="Times New Roman"/>
          <w:i/>
          <w:sz w:val="22"/>
        </w:rPr>
        <w:t>IEEE Open Journal of the Communications Society</w:t>
      </w:r>
      <w:r>
        <w:rPr>
          <w:rFonts w:ascii="Times New Roman" w:hAnsi="Times New Roman"/>
          <w:sz w:val="22"/>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jc w:val="right"/>
      <w:rPr>
        <w:sz w:val="20"/>
      </w:rPr>
    </w:pPr>
    <w:r/>
    <w:r>
      <w:rPr>
        <w:rFonts w:ascii="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