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drawing>
          <wp:inline distT="0" distB="0" distL="0" distR="0">
            <wp:extent cx="9001125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 w:before="0"/>
        <w:jc w:val="center"/>
      </w:pPr>
      <w:r>
        <w:rPr>
          <w:b/>
          <w:bCs/>
          <w:sz w:val="28"/>
          <w:szCs w:val="28"/>
        </w:rPr>
        <w:t xml:space="preserve">Коммерческое предложение на поставку изделий из полимербетона ARHIO по проекту test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Наименование на фасаде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Номенклатура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Кол-во изделий, шт.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Цена, руб.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Сумма, руб.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Площадь развёртки, м2</w:t>
            </w:r>
          </w:p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Карниз на отм11.000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AK10-6-A/N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3 758.02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45 096.22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3.88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45 096.22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3.88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Карниз на фронтонах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APD08-1-A/N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2 282.32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57 058.04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4.90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57 058.04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4.90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Подкровельный карниз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AK42-1-A/N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57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15 004.19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855 238.99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71.93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855 238.99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71.93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Карниз на отм 3.750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AK10-6-A/N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3 758.02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289 367.40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24.87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AK20-1-A/N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3 813.05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293 604.68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24.95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582 972.08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49.82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Межэтажный карниз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AK10-6-A/N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3 758.02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289 367.40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24.87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289 367.40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24.87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APD11-2 вдоль стены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232 680.89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19.83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232 680.89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19.83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AOB11-1/2 вдоль стены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AOB11-1-A/N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5 452.74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169 035.06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13.95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169 035.06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13.95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Облицовка эркера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76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2 834.04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215 386.98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18.85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215 386.98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18.85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Панели на отм 0.000 +полубалясины(дом)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136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2 834.04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385 429.33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33.73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AO40-200-1000/N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3 903.63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50 747.13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3.86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ABL66-1/N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3 660.69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25 624.84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2.22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461 801.30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39.81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Балюстрада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128 717.09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10.97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AOB11-1-A/N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5 452.74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141 771.34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11.70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ABL66-1/N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92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3 660.69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336 783.60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29.16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AST66-1/N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12 372.43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173 214.08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12.82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AKT10-1-K/N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6 791.12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40 746.73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AKT10-1-S/N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6 408.99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51 271.93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3.30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AOT10-1-K/N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3 172.62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19 035.72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1.11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AOT10-1-S/N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2 908.94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23 271.48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1.50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914 811.97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72.94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 на 2-ом этаже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31 137.50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2.58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2 834.04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22 672.31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1.98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79 769.21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6.81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 на 1-ом этаже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9 734.78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0.84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9 734.78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0.84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23 353.12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1.94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6 801.95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6 801.95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14 847.99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48 626.08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4.20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22 166.37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1.92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142 067.00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12.17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2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15 568.75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32 417.39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32 417.39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2.80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14 777.58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1.28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117 230.06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10.06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3 на 2-ом этаже (дом)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25 959.40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2.24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25 959.40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2.24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2 834.04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22 672.31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1.98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74 591.11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6.46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3 на 1-ом этаже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29 204.33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29 204.33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2.52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2 962.25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26 660.26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2.02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20 405.84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1.73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20 405.84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1.73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44 543.96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3.85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116 702.59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10.08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33 249.55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2.88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320 376.69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27.33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4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APD11-2-A0.25/N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3 767.05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7 534.11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9 898.66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0.86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25 933.91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2.24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7 388.79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0.64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72 804.43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5.88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5 на 2-ом этаже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15 568.75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1.29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2 834.04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22 672.31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1.98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64 200.46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5.52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5 на 1-ом этаже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0.42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7 423.99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0.64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12 966.95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7 388.79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0.64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43 754.88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3.77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6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9 901.31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0.84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4 949.33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0.43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25 933.91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2.24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14 777.58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1.28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77 611.09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6.68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7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0.42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12 966.95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7 388.79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0.64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38 805.55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3.34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Дверь 1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2 962.25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2 962.25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4 949.33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0.43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12 966.95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0.32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35 597.41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3.04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14 (дом)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SPB1876-AN15-3-R1/N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2 286.70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18 293.62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APD08-1-BP/N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5 269.21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APD08-1-BL/N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5 269.21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APD08-1-A0.5/N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3 049.52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6 099.04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0.20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34 931.09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1.83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Карниз на отм 4.450 (гараж)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AK10-6-A/N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3 758.02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45 096.22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3.88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45 096.22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3.88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Карниз на фронтонах (гараж)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APD08-1-A/N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2 282.32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43 364.11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3.72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43 364.11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3.72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Подкровельный карниз (гараж)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AK42-1-A/N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15 004.19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690 192.87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58.05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690 192.87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58.05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11 (гараж)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12 979.70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APD11-2-A0.5/N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2 962.25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11 849.00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0.90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9 069.26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0.77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9 069.26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0.77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59 391.94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5.14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29 555.16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2.56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144 894.03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12.37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12 (гараж)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7 784.37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0.65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4 949.33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0.43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6 483.48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APD08-1-BP/N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APD08-1-BL/N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2 634.61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APD08-1-A0.75/N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4 454.69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8 909.38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0.30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11 083.18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0.96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55 503.44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4.06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Окно 13 (гараж)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SPB1876-AN15-3-R2/N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2 989.43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11 957.74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0.59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11 957.74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0.59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Дверь 6 (гараж)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6 489.85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APD11-2-A0.5/N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2 962.25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5 924.50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0.45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4 534.63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0.38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29 695.97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2.57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14 777.58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1.28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72 447.02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6.19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Дверь 7 (гараж)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9 734.78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0.84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3 244.93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9 734.78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0.84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3 892.19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23 353.12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1.94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4 950.66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14 851.97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1.27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6 801.95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0.58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6 801.95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0.58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14 847.99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1.28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58 351.29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5.04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44 332.74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3.84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188 810.56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16.20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Align w:val="center"/>
          </w:tcPr>
          <w:p>
            <w:pPr>
              <w:pStyle w:val="italicStyle"/>
              <w:jc w:val="center"/>
            </w:pPr>
            <w:r>
              <w:t xml:space="preserve">Лобовая доска (баня)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63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3 694.39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232 746.88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20.16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232 746.88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20.16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Окно 15 (баня)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11 336.58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0.96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11 336.58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0.96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37 119.96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3.21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64 834.77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5.60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124 627.89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10.73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tcW w:type="dxa" w:w="2000"/>
            <w:vMerge w:val="restart"/>
            <w:vAlign w:val="center"/>
          </w:tcPr>
          <w:p>
            <w:pPr>
              <w:pStyle w:val="italicStyle"/>
              <w:jc w:val="center"/>
            </w:pPr>
            <w:r>
              <w:t xml:space="preserve">Дверь 8 (баня)</w:t>
            </w:r>
          </w:p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2 267.32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0.19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shd w:fill="F2F2F2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tcW w:type="dxa" w:w="800"/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2 474.66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4 949.33</w:t>
            </w:r>
          </w:p>
        </w:tc>
        <w:tc>
          <w:tcPr>
            <w:tcW w:type="dxa" w:w="1000"/>
            <w:shd w:fill="F2F2F2"/>
            <w:vAlign w:val="center"/>
          </w:tcPr>
          <w:p>
            <w:pPr>
              <w:jc w:val="center"/>
            </w:pPr>
            <w:r>
              <w:t xml:space="preserve">0.43</w:t>
            </w:r>
          </w:p>
        </w:tc>
      </w:tr>
      <w:tr>
        <w:tc>
          <w:tcPr>
            <w:vMerge w:val="continue"/>
          </w:tcPr>
          <w:p/>
        </w:tc>
        <w:tc>
          <w:tcPr>
            <w:tcW w:type="dxa" w:w="1800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tcW w:type="dxa" w:w="800"/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3 241.74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12 966.95</w:t>
            </w:r>
          </w:p>
        </w:tc>
        <w:tc>
          <w:tcPr>
            <w:tcW w:type="dxa" w:w="1000"/>
            <w:vAlign w:val="center"/>
          </w:tcPr>
          <w:p>
            <w:pPr>
              <w:jc w:val="center"/>
            </w:pPr>
            <w:r>
              <w:t xml:space="preserve">1.12</w:t>
            </w:r>
          </w:p>
        </w:tc>
      </w:tr>
      <w:tr>
        <w:tc>
          <w:tcPr>
            <w:gridSpan w:val="3"/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Итого: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22 450.91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1.93</w:t>
            </w:r>
          </w:p>
        </w:tc>
      </w:tr>
      <w:tr>
        <w:tc>
          <w:tcPr>
            <w:gridSpan w:val="6"/>
          </w:tcPr>
          <w:p/>
        </w:tc>
      </w:tr>
      <w:tr>
        <w:tc>
          <w:tcPr>
            <w:gridSpan w:val="3"/>
            <w:shd w:fill="DDE8F6"/>
            <w:vAlign w:val="center"/>
          </w:tcPr>
          <w:p>
            <w:pPr>
              <w:jc w:val="left"/>
            </w:pPr>
            <w:r>
              <w:rPr>
                <w:b/>
                <w:bCs/>
              </w:rPr>
              <w:t xml:space="preserve">ИТОГО по проекту:</w:t>
            </w:r>
          </w:p>
        </w:tc>
        <w:tc>
          <w:tcPr>
            <w:shd w:fill="DDE8F6"/>
            <w:vAlign w:val="center"/>
          </w:tcPr>
          <w:p>
            <w:r>
              <w:rPr>
                <w:b/>
                <w:bCs/>
              </w:rPr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6 557 279.59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551.54</w:t>
            </w:r>
          </w:p>
        </w:tc>
      </w:tr>
    </w:tbl>
    <w:p>
      <w:pPr>
        <w:spacing w:after="300" w:before="300"/>
        <w:jc w:val="center"/>
      </w:pPr>
      <w:r>
        <w:rPr>
          <w:b/>
          <w:bCs/>
          <w:sz w:val="28"/>
          <w:szCs w:val="28"/>
        </w:rPr>
        <w:t xml:space="preserve">Стоимость форм и заливки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500"/>
        <w:gridCol w:w="900"/>
        <w:gridCol w:w="700"/>
        <w:gridCol w:w="800"/>
        <w:gridCol w:w="700"/>
        <w:gridCol w:w="700"/>
        <w:gridCol w:w="900"/>
        <w:gridCol w:w="1000"/>
        <w:gridCol w:w="1000"/>
        <w:gridCol w:w="900"/>
      </w:tblGrid>
      <w:tr>
        <w:trPr>
          <w:tblHeader/>
        </w:trPr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№ п/п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Номенклатура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Площадь развертки изделия, м2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Кол-во изделий, шт.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Площадь развертки общая, м2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Масса общая, кг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Кол-во форм, шт.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Стоимость формы за м², руб.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Стоимость форм для изделий, руб.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Стоимость заливки за м², руб.</w:t>
            </w:r>
          </w:p>
        </w:tc>
        <w:tc>
          <w:tcPr>
            <w:shd w:fill="D3D3D3"/>
            <w:vAlign w:val="center"/>
          </w:tcPr>
          <w:p>
            <w:pPr>
              <w:jc w:val="center"/>
            </w:pPr>
            <w:r>
              <w:t xml:space="preserve">Стоимость за единицу, руб.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SPB1876-AN15-3-R1/N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0.147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1.18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18.82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5 059.67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2 058.03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SPB1876-AN15-3-R2/N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0.147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0.59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9.41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5 059.67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2 690.49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ABL66-1/N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0.317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99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31.38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502.13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21 821.96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3 294.62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AK10-6-A/N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0.323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57.49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919.90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44 469.98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3 382.22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AK20-1-A/N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0.324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77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24.95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399.17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22 303.83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3 431.74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AK42-1-A/N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1.262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103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129.99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2 079.78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130 312.19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13 503.77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AKT10-1-K/N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0.396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2.38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38.02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13 630.12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6 112.01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AKT10-1-S/N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0.412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3.30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52.74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14 180.83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5 768.09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AN15-3-A/N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0.280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143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40.04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640.64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28 912.37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2 917.56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AN15-3-A0.75/N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0.214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20.76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332.13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14 731.54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2 227.20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AN15-3-CL/N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0.192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7.10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113.66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6 608.54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2 040.58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AN15-3-CP/N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0.192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7.10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113.66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6 608.54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2 040.58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AO20-200-1000/N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0.248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236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58.53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936.45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27 707.96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34 357.87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2 550.64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AO40-200-1000/N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0.297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3.86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61.78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27 707.96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8 229.26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3 513.26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15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AO50-200-1000/N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0.320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120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38.40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614.40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27 707.96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26 599.64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3 324.96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AOB11-1-A/N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0.450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25.65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410.40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30 977.54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4 907.47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17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AOT10-1-K/N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0.185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1.11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17.76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6 367.61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2 855.36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18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AOT10-1-S/N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0.187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1.50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23.94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6 436.44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2 618.04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19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APD08-1-A/N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0.196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8.62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137.98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6 746.22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2 054.09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20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APD08-1-A0.5/N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0.102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0.20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3.26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3 510.79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2 744.57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21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APD08-1-A0.75/N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4.77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5 128.50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4 009.22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22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APD08-1-BL/N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0.112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0.34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5.38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3 854.98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2 371.15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23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APD08-1-BP/N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0.112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5.38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3 854.98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2 371.15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24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APD11-2-A/N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0.422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33.76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540.16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29 050.05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4 455.59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APD11-2-A0.25/N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0.126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0.25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4.03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4 336.86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3 390.35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26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APD11-2-A0.5/N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0.225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57.60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7 744.39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2 666.03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27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APD11-2-A0.75/N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0.323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9.69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155.04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11 117.50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3 502.97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28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APD11-2-BL/N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0.280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13.16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210.56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9 637.46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2 920.43</w:t>
            </w:r>
          </w:p>
        </w:tc>
      </w:tr>
      <w:tr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29</w:t>
            </w:r>
          </w:p>
        </w:tc>
        <w:tc>
          <w:tcPr>
            <w:tcW w:type="dxa" w:w="2500"/>
            <w:shd w:fill="F2F2F2"/>
            <w:vAlign w:val="center"/>
          </w:tcPr>
          <w:p>
            <w:pPr>
              <w:jc w:val="left"/>
            </w:pPr>
            <w:r>
              <w:t xml:space="preserve">APD11-2-BP/N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0.280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47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13.16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210.56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9 637.46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shd w:fill="F2F2F2"/>
            <w:vAlign w:val="center"/>
          </w:tcPr>
          <w:p>
            <w:pPr>
              <w:jc w:val="center"/>
            </w:pPr>
            <w:r>
              <w:t xml:space="preserve">2 920.43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30</w:t>
            </w:r>
          </w:p>
        </w:tc>
        <w:tc>
          <w:tcPr>
            <w:tcW w:type="dxa" w:w="2500"/>
            <w:vAlign w:val="center"/>
          </w:tcPr>
          <w:p>
            <w:pPr>
              <w:jc w:val="left"/>
            </w:pPr>
            <w:r>
              <w:t xml:space="preserve">AST66-1/N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0.916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14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12.82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205.18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34 419.49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31 528.25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9 697.79</w:t>
            </w:r>
          </w:p>
        </w:tc>
        <w:tc>
          <w:tcPr>
            <w:vAlign w:val="center"/>
          </w:tcPr>
          <w:p>
            <w:pPr>
              <w:jc w:val="center"/>
            </w:pPr>
            <w:r>
              <w:t xml:space="preserve">11 135.19</w:t>
            </w:r>
          </w:p>
        </w:tc>
      </w:tr>
      <w:tr>
        <w:trPr>
          <w:trHeight w:val="400" w:hRule="atLeast"/>
        </w:trPr>
        <w:tc>
          <w:tcPr>
            <w:gridSpan w:val="3"/>
            <w:shd w:fill="DDE8F6"/>
            <w:vAlign w:val="center"/>
          </w:tcPr>
          <w:p/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1 527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551.54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8 824.67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48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</w:p>
        </w:tc>
        <w:tc>
          <w:tcPr>
            <w:shd w:fill="DDE8F6"/>
            <w:vAlign w:val="center"/>
          </w:tcPr>
          <w:p>
            <w:pPr>
              <w:jc w:val="center"/>
            </w:pPr>
            <w:r>
              <w:t xml:space="preserve">552 815.04</w:t>
            </w:r>
          </w:p>
        </w:tc>
        <w:tc>
          <w:tcPr>
            <w:shd w:fill="DDE8F6"/>
            <w:vAlign w:val="center"/>
          </w:tcPr>
          <w:p>
            <w:pPr>
              <w:jc w:val="center"/>
            </w:pPr>
          </w:p>
        </w:tc>
        <w:tc>
          <w:tcPr>
            <w:shd w:fill="DDE8F6"/>
            <w:vAlign w:val="center"/>
          </w:tcPr>
          <w:p>
            <w:pPr>
              <w:jc w:val="center"/>
            </w:pPr>
          </w:p>
        </w:tc>
      </w:tr>
      <w:tr>
        <w:tc>
          <w:tcPr>
            <w:gridSpan w:val="11"/>
          </w:tcPr>
          <w:p/>
        </w:tc>
      </w:tr>
    </w:tbl>
    <w:p>
      <w:pPr>
        <w:spacing w:before="400" w:after="200"/>
      </w:pPr>
      <w:r>
        <w:rPr>
          <w:b/>
          <w:bCs/>
        </w:rPr>
        <w:t xml:space="preserve">Итого стоимость производства составляет 6 557 279.59 руб. (шесть миллионов пятьсот пятьдесят семь тысяч двести восемьдесят рублей включая НДС 22%)</w:t>
      </w:r>
    </w:p>
    <w:p>
      <w:pPr>
        <w:spacing w:before="200" w:after="400"/>
      </w:pPr>
      <w:r>
        <w:rPr>
          <w:b/>
          <w:bCs/>
        </w:rPr>
        <w:t xml:space="preserve">В том числе НДС 22%: 1 182 460.25 руб.</w:t>
      </w:r>
    </w:p>
    <w:p>
      <w:pPr>
        <w:spacing w:before="200" w:after="200"/>
      </w:pPr>
      <w:r>
        <w:rPr>
          <w:b/>
          <w:bCs/>
        </w:rPr>
        <w:t xml:space="preserve">Цена со скидкой 10%: 5 901 551.63 руб. (пять миллионов девятьсот один тысяч пятьсот пятьдесят два рубля включая НДС 22%)</w:t>
      </w:r>
    </w:p>
    <w:p>
      <w:pPr>
        <w:spacing w:before="200" w:after="200"/>
      </w:pPr>
      <w:r>
        <w:rPr>
          <w:b/>
          <w:bCs/>
        </w:rPr>
        <w:t xml:space="preserve">В том числе НДС 22%: 1 064 214.23 руб.</w:t>
      </w:r>
    </w:p>
    <w:p>
      <w:pPr>
        <w:spacing w:before="200" w:after="400"/>
      </w:pPr>
      <w:r>
        <w:rPr>
          <w:b/>
          <w:bCs/>
        </w:rPr>
        <w:t xml:space="preserve">Скидка составила: 655 727.96 руб.</w:t>
      </w:r>
    </w:p>
    <w:p>
      <w:pPr>
        <w:spacing w:before="200" w:after="200"/>
      </w:pPr>
      <w:r>
        <w:t xml:space="preserve">Цена 1 кв.м. развертки, руб. 10 700 (со скидкой)</w:t>
      </w:r>
    </w:p>
    <w:p>
      <w:pPr>
        <w:spacing w:before="200" w:after="200"/>
      </w:pPr>
      <w:r>
        <w:t xml:space="preserve">Цена 1 кв.м. проекции, руб. 24 419 (со скидкой)</w:t>
      </w:r>
    </w:p>
    <w:p>
      <w:pPr>
        <w:spacing w:before="200" w:after="200"/>
      </w:pPr>
      <w:r>
        <w:t xml:space="preserve">Площадь развертки изделий составляет, кв.м. 552</w:t>
      </w:r>
    </w:p>
    <w:p>
      <w:pPr>
        <w:spacing w:before="400" w:after="400"/>
      </w:pPr>
      <w:r>
        <w:t xml:space="preserve">Файл: 1e8f63a1f146503ec0aafe32666e16fe</w:t>
      </w:r>
    </w:p>
    <w:p>
      <w:pPr>
        <w:spacing w:before="300" w:after="300"/>
        <w:jc w:val="left"/>
      </w:pPr>
      <w:r>
        <w:drawing>
          <wp:inline distT="0" distB="0" distL="0" distR="0">
            <wp:extent cx="4371975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1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001125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distT="0" distB="0" distL="0" distR="0">
            <wp:extent cx="9001125" cy="540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1125" cy="540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6"/>
      <w:footerReference w:type="default" r:id="rId7"/>
      <w:pgSz w:w="16840" w:h="11907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Предложение действительно 25 дней. Расчет является предварительным. Для окончательного расчета требуется проектирование.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Дата составления предложения 27.01.2026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otalRowStyle">
    <w:name w:val="Total Row Style"/>
    <w:basedOn w:val="Normal"/>
    <w:next w:val="Normal"/>
    <w:qFormat/>
    <w:pPr>
      <w:jc w:val="center"/>
    </w:pPr>
    <w:rPr>
      <w:b/>
      <w:bCs/>
      <w:sz w:val="22"/>
      <w:szCs w:val="22"/>
    </w:rPr>
  </w:style>
  <w:style w:type="paragraph" w:styleId="italicStyle">
    <w:name w:val="Italic Style"/>
    <w:basedOn w:val="Normal"/>
    <w:rPr>
      <w:i/>
      <w:i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0irnrbuqabin7966nlusw.png"/><Relationship Id="rId9" Type="http://schemas.openxmlformats.org/officeDocument/2006/relationships/image" Target="media/ftcnx0lza2bftbajhoc-w.png"/><Relationship Id="rId10" Type="http://schemas.openxmlformats.org/officeDocument/2006/relationships/image" Target="media/_71ilphwy2aqmd9o9g9x7.png"/><Relationship Id="rId11" Type="http://schemas.openxmlformats.org/officeDocument/2006/relationships/image" Target="media/riwqry_3nus6cw2qpoh8c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2026-01-27T06:44:20.512Z</dcterms:created>
  <dcterms:modified xsi:type="dcterms:W3CDTF">2026-01-27T06:44:20.512Z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