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Times New Roman" w:hAnsi="Times New Roman"/>
          <w:b/>
          <w:sz w:val="28"/>
        </w:rPr>
        <w:t>PROVISIONAL PATENT APPLICATION DRAFT</w:t>
      </w:r>
    </w:p>
    <w:p>
      <w:pPr>
        <w:spacing w:before="800"/>
        <w:jc w:val="center"/>
      </w:pPr>
      <w:r>
        <w:rPr>
          <w:rFonts w:ascii="Times New Roman" w:hAnsi="Times New Roman"/>
          <w:b/>
          <w:sz w:val="40"/>
        </w:rPr>
        <w:t>Dynamic Dual-Split and Multi-Destination Round-Up Microallocation System</w:t>
      </w:r>
    </w:p>
    <w:p>
      <w:pPr>
        <w:spacing w:before="600"/>
        <w:jc w:val="center"/>
      </w:pPr>
      <w:r>
        <w:rPr>
          <w:rFonts w:ascii="Times New Roman" w:hAnsi="Times New Roman"/>
          <w:sz w:val="28"/>
        </w:rPr>
        <w:t>APPLICANT: Dime Time</w:t>
      </w:r>
    </w:p>
    <w:p>
      <w:pPr>
        <w:spacing w:before="600"/>
        <w:jc w:val="center"/>
      </w:pPr>
      <w:r>
        <w:rPr>
          <w:rFonts w:ascii="Times New Roman" w:hAnsi="Times New Roman"/>
          <w:sz w:val="28"/>
        </w:rPr>
        <w:t>INVENTOR: Tim Carlisle</w:t>
      </w:r>
    </w:p>
    <w:p>
      <w:r>
        <w:br w:type="page"/>
      </w:r>
    </w:p>
    <w:p>
      <w:pPr>
        <w:spacing w:before="240" w:after="120"/>
        <w:jc w:val="center"/>
      </w:pPr>
      <w:r>
        <w:rPr>
          <w:rFonts w:ascii="Times New Roman" w:hAnsi="Times New Roman"/>
          <w:b/>
          <w:sz w:val="28"/>
        </w:rPr>
        <w:t>FIELD OF THE INVENTION</w:t>
      </w:r>
    </w:p>
    <w:p>
      <w:pPr>
        <w:spacing w:after="120"/>
        <w:ind w:firstLine="576"/>
        <w:jc w:val="both"/>
      </w:pPr>
      <w:r>
        <w:rPr>
          <w:rFonts w:ascii="Times New Roman" w:hAnsi="Times New Roman"/>
          <w:sz w:val="24"/>
        </w:rPr>
        <w:t>The present invention relates generally to financial technology systems, transaction processing systems, automated debt repayment systems, digital asset acquisition systems, and user-controlled microallocation systems.</w:t>
      </w:r>
    </w:p>
    <w:p>
      <w:pPr>
        <w:spacing w:after="120"/>
        <w:ind w:firstLine="576"/>
        <w:jc w:val="both"/>
      </w:pPr>
      <w:r>
        <w:rPr>
          <w:rFonts w:ascii="Times New Roman" w:hAnsi="Times New Roman"/>
          <w:sz w:val="24"/>
        </w:rPr>
        <w:t>More specifically, the invention relates to systems and methods for receiving transaction data, calculating transaction round-up amounts, applying a user-defined or dynamically adjusted allocation vector, and routing the resulting microallocated funds across two or more financial destinations, including debt repayment destinations and digital asset acquisition destinations.</w:t>
      </w:r>
    </w:p>
    <w:p>
      <w:pPr>
        <w:spacing w:before="240" w:after="120"/>
        <w:jc w:val="center"/>
      </w:pPr>
      <w:r>
        <w:rPr>
          <w:rFonts w:ascii="Times New Roman" w:hAnsi="Times New Roman"/>
          <w:b/>
          <w:sz w:val="28"/>
        </w:rPr>
        <w:t>BACKGROUND OF THE INVENTION</w:t>
      </w:r>
    </w:p>
    <w:p>
      <w:pPr>
        <w:spacing w:after="120"/>
        <w:ind w:firstLine="576"/>
        <w:jc w:val="both"/>
      </w:pPr>
      <w:r>
        <w:rPr>
          <w:rFonts w:ascii="Times New Roman" w:hAnsi="Times New Roman"/>
          <w:sz w:val="24"/>
        </w:rPr>
        <w:t>Consumers frequently carry high-interest debt while also desiring to build long-term financial assets. Existing personal finance tools generally focus on a single financial destination, such as savings, student loan repayment, investing, or debt payoff. These systems do not provide a flexible, user-controlled allocation engine capable of splitting a single transaction-derived round-up amount across multiple financial destinations in configurable percentages.</w:t>
      </w:r>
    </w:p>
    <w:p>
      <w:pPr>
        <w:spacing w:after="120"/>
        <w:ind w:firstLine="576"/>
        <w:jc w:val="both"/>
      </w:pPr>
      <w:r>
        <w:rPr>
          <w:rFonts w:ascii="Times New Roman" w:hAnsi="Times New Roman"/>
          <w:sz w:val="24"/>
        </w:rPr>
        <w:t>Existing round-up systems may round purchases to the nearest dollar and direct the resulting difference to a single account or investment destination. However, these systems typically lack an allocation vector allowing the user to divide round-up value between debt repayment and asset acquisition. They also generally lack extensibility to multiple destinations, real-time execution orchestration, destination-specific rules, idempotent transfer handling, and reconciliation across heterogeneous financial endpoints.</w:t>
      </w:r>
    </w:p>
    <w:p>
      <w:pPr>
        <w:spacing w:after="120"/>
        <w:ind w:firstLine="576"/>
        <w:jc w:val="both"/>
      </w:pPr>
      <w:r>
        <w:rPr>
          <w:rFonts w:ascii="Times New Roman" w:hAnsi="Times New Roman"/>
          <w:sz w:val="24"/>
        </w:rPr>
        <w:t>Accordingly, there is a need for a system that enables users to convert everyday transactions into structured financial microactions that can simultaneously reduce liabilities and acquire assets.</w:t>
      </w:r>
    </w:p>
    <w:p>
      <w:pPr>
        <w:spacing w:before="240" w:after="120"/>
        <w:jc w:val="center"/>
      </w:pPr>
      <w:r>
        <w:rPr>
          <w:rFonts w:ascii="Times New Roman" w:hAnsi="Times New Roman"/>
          <w:b/>
          <w:sz w:val="28"/>
        </w:rPr>
        <w:t>SUMMARY OF THE INVENTION</w:t>
      </w:r>
    </w:p>
    <w:p>
      <w:pPr>
        <w:spacing w:after="120"/>
        <w:ind w:firstLine="576"/>
        <w:jc w:val="both"/>
      </w:pPr>
      <w:r>
        <w:rPr>
          <w:rFonts w:ascii="Times New Roman" w:hAnsi="Times New Roman"/>
          <w:sz w:val="24"/>
        </w:rPr>
        <w:t>The invention provides a computerized financial microallocation platform that detects user transactions, calculates round-up amounts, applies an allocation vector, and executes transfers across multiple financial destinations.</w:t>
      </w:r>
    </w:p>
    <w:p>
      <w:pPr>
        <w:spacing w:after="120"/>
        <w:ind w:firstLine="576"/>
        <w:jc w:val="both"/>
      </w:pPr>
      <w:r>
        <w:rPr>
          <w:rFonts w:ascii="Times New Roman" w:hAnsi="Times New Roman"/>
          <w:sz w:val="24"/>
        </w:rPr>
        <w:t>In one embodiment, the system receives transaction data from a linked financial account through a financial data provider. The system computes a round-up amount by determining the difference between a transaction amount and a next currency increment, such as the next whole dollar. The system applies an allocation vector to split the round-up amount into two or more allocation portions.</w:t>
      </w:r>
    </w:p>
    <w:p>
      <w:pPr>
        <w:spacing w:after="120"/>
        <w:ind w:firstLine="576"/>
        <w:jc w:val="both"/>
      </w:pPr>
      <w:r>
        <w:rPr>
          <w:rFonts w:ascii="Times New Roman" w:hAnsi="Times New Roman"/>
          <w:sz w:val="24"/>
        </w:rPr>
        <w:t>In a preferred embodiment, the allocation destinations include:</w:t>
      </w:r>
    </w:p>
    <w:p>
      <w:pPr>
        <w:pStyle w:val="ListBullet"/>
        <w:spacing w:after="40"/>
      </w:pPr>
      <w:r>
        <w:rPr>
          <w:rFonts w:ascii="Times New Roman" w:hAnsi="Times New Roman"/>
          <w:sz w:val="24"/>
        </w:rPr>
        <w:t>A debt repayment destination; and</w:t>
      </w:r>
    </w:p>
    <w:p>
      <w:pPr>
        <w:pStyle w:val="ListBullet"/>
        <w:spacing w:after="40"/>
      </w:pPr>
      <w:r>
        <w:rPr>
          <w:rFonts w:ascii="Times New Roman" w:hAnsi="Times New Roman"/>
          <w:sz w:val="24"/>
        </w:rPr>
        <w:t>A digital asset acquisition destination, such as Bitcoin.</w:t>
      </w:r>
    </w:p>
    <w:p>
      <w:pPr>
        <w:spacing w:after="120"/>
        <w:ind w:firstLine="576"/>
        <w:jc w:val="both"/>
      </w:pPr>
      <w:r>
        <w:rPr>
          <w:rFonts w:ascii="Times New Roman" w:hAnsi="Times New Roman"/>
          <w:sz w:val="24"/>
        </w:rPr>
        <w:t>The allocation vector may represent any split across the full 0 percent to 100 percent range. Examples include:</w:t>
      </w:r>
    </w:p>
    <w:p>
      <w:pPr>
        <w:pStyle w:val="ListBullet"/>
        <w:spacing w:after="40"/>
      </w:pPr>
      <w:r>
        <w:rPr>
          <w:rFonts w:ascii="Times New Roman" w:hAnsi="Times New Roman"/>
          <w:sz w:val="24"/>
        </w:rPr>
        <w:t>100 percent debt / 0 percent digital asset</w:t>
      </w:r>
    </w:p>
    <w:p>
      <w:pPr>
        <w:pStyle w:val="ListBullet"/>
        <w:spacing w:after="40"/>
      </w:pPr>
      <w:r>
        <w:rPr>
          <w:rFonts w:ascii="Times New Roman" w:hAnsi="Times New Roman"/>
          <w:sz w:val="24"/>
        </w:rPr>
        <w:t>90 percent debt / 10 percent digital asset</w:t>
      </w:r>
    </w:p>
    <w:p>
      <w:pPr>
        <w:pStyle w:val="ListBullet"/>
        <w:spacing w:after="40"/>
      </w:pPr>
      <w:r>
        <w:rPr>
          <w:rFonts w:ascii="Times New Roman" w:hAnsi="Times New Roman"/>
          <w:sz w:val="24"/>
        </w:rPr>
        <w:t>80 percent debt / 20 percent digital asset</w:t>
      </w:r>
    </w:p>
    <w:p>
      <w:pPr>
        <w:pStyle w:val="ListBullet"/>
        <w:spacing w:after="40"/>
      </w:pPr>
      <w:r>
        <w:rPr>
          <w:rFonts w:ascii="Times New Roman" w:hAnsi="Times New Roman"/>
          <w:sz w:val="24"/>
        </w:rPr>
        <w:t>50 percent debt / 50 percent digital asset</w:t>
      </w:r>
    </w:p>
    <w:p>
      <w:pPr>
        <w:pStyle w:val="ListBullet"/>
        <w:spacing w:after="40"/>
      </w:pPr>
      <w:r>
        <w:rPr>
          <w:rFonts w:ascii="Times New Roman" w:hAnsi="Times New Roman"/>
          <w:sz w:val="24"/>
        </w:rPr>
        <w:t>20 percent debt / 80 percent digital asset</w:t>
      </w:r>
    </w:p>
    <w:p>
      <w:pPr>
        <w:pStyle w:val="ListBullet"/>
        <w:spacing w:after="40"/>
      </w:pPr>
      <w:r>
        <w:rPr>
          <w:rFonts w:ascii="Times New Roman" w:hAnsi="Times New Roman"/>
          <w:sz w:val="24"/>
        </w:rPr>
        <w:t>0 percent debt / 100 percent digital asset</w:t>
      </w:r>
    </w:p>
    <w:p>
      <w:pPr>
        <w:spacing w:after="120"/>
        <w:ind w:firstLine="576"/>
        <w:jc w:val="both"/>
      </w:pPr>
      <w:r>
        <w:rPr>
          <w:rFonts w:ascii="Times New Roman" w:hAnsi="Times New Roman"/>
          <w:sz w:val="24"/>
        </w:rPr>
        <w:t>The allocation vector may also extend to N destinations, including credit cards, student loans, auto loans, mortgages, savings accounts, investment accounts, brokerage accounts, digital wallets, cryptocurrency exchanges, custodial wallets, charitable accounts, or other financial endpoints.</w:t>
      </w:r>
    </w:p>
    <w:p>
      <w:pPr>
        <w:spacing w:after="120"/>
        <w:ind w:firstLine="576"/>
        <w:jc w:val="both"/>
      </w:pPr>
      <w:r>
        <w:rPr>
          <w:rFonts w:ascii="Times New Roman" w:hAnsi="Times New Roman"/>
          <w:sz w:val="24"/>
        </w:rPr>
        <w:t>The system may execute payments through ACH, transfer networks, payment processors, banking APIs, crypto exchange APIs, or other financial rails.</w:t>
      </w:r>
    </w:p>
    <w:p>
      <w:pPr>
        <w:spacing w:after="120"/>
        <w:ind w:firstLine="576"/>
        <w:jc w:val="both"/>
      </w:pPr>
      <w:r>
        <w:rPr>
          <w:rFonts w:ascii="Times New Roman" w:hAnsi="Times New Roman"/>
          <w:sz w:val="24"/>
        </w:rPr>
        <w:t>The system may maintain a reconciliation ledger to track calculated round-ups, authorization status, transfer status, settlement status, failed transactions, returned payments, canceled transfers, and destination-level allocation records.</w:t>
      </w:r>
    </w:p>
    <w:p>
      <w:pPr>
        <w:spacing w:before="240" w:after="120"/>
        <w:jc w:val="center"/>
      </w:pPr>
      <w:r>
        <w:rPr>
          <w:rFonts w:ascii="Times New Roman" w:hAnsi="Times New Roman"/>
          <w:b/>
          <w:sz w:val="28"/>
        </w:rPr>
        <w:t>BRIEF DESCRIPTION OF THE DRAWINGS</w:t>
      </w:r>
    </w:p>
    <w:p>
      <w:pPr>
        <w:spacing w:after="120"/>
        <w:jc w:val="both"/>
      </w:pPr>
      <w:r>
        <w:rPr>
          <w:rFonts w:ascii="Times New Roman" w:hAnsi="Times New Roman"/>
          <w:sz w:val="24"/>
        </w:rPr>
        <w:t>FIG. 1 illustrates a high-level system architecture of the Dime Time platform.</w:t>
      </w:r>
    </w:p>
    <w:p>
      <w:pPr>
        <w:spacing w:after="120"/>
        <w:jc w:val="both"/>
      </w:pPr>
      <w:r>
        <w:rPr>
          <w:rFonts w:ascii="Times New Roman" w:hAnsi="Times New Roman"/>
          <w:sz w:val="24"/>
        </w:rPr>
        <w:t>FIG. 2 illustrates a transaction round-up calculation and allocation vector flow.</w:t>
      </w:r>
    </w:p>
    <w:p>
      <w:pPr>
        <w:spacing w:after="120"/>
        <w:jc w:val="both"/>
      </w:pPr>
      <w:r>
        <w:rPr>
          <w:rFonts w:ascii="Times New Roman" w:hAnsi="Times New Roman"/>
          <w:sz w:val="24"/>
        </w:rPr>
        <w:t>FIG. 3 illustrates an example dual-destination allocation between debt repayment and Bitcoin acquisition.</w:t>
      </w:r>
    </w:p>
    <w:p>
      <w:pPr>
        <w:spacing w:after="120"/>
        <w:jc w:val="both"/>
      </w:pPr>
      <w:r>
        <w:rPr>
          <w:rFonts w:ascii="Times New Roman" w:hAnsi="Times New Roman"/>
          <w:sz w:val="24"/>
        </w:rPr>
        <w:t>FIG. 4 illustrates an N-destination allocation model.</w:t>
      </w:r>
    </w:p>
    <w:p>
      <w:pPr>
        <w:spacing w:after="120"/>
        <w:jc w:val="both"/>
      </w:pPr>
      <w:r>
        <w:rPr>
          <w:rFonts w:ascii="Times New Roman" w:hAnsi="Times New Roman"/>
          <w:sz w:val="24"/>
        </w:rPr>
        <w:t>FIG. 5 illustrates an execution orchestration workflow including authorization, creation, settlement, failure handling, and reconciliation.</w:t>
      </w:r>
    </w:p>
    <w:p>
      <w:pPr>
        <w:spacing w:after="120"/>
        <w:jc w:val="both"/>
      </w:pPr>
      <w:r>
        <w:rPr>
          <w:rFonts w:ascii="Times New Roman" w:hAnsi="Times New Roman"/>
          <w:sz w:val="24"/>
        </w:rPr>
        <w:t>FIG. 6 illustrates a user interface allocation slider enabling a user to select allocation percentages.</w:t>
      </w:r>
    </w:p>
    <w:p>
      <w:pPr>
        <w:spacing w:after="120"/>
        <w:jc w:val="both"/>
      </w:pPr>
      <w:r>
        <w:rPr>
          <w:rFonts w:ascii="Times New Roman" w:hAnsi="Times New Roman"/>
          <w:sz w:val="24"/>
        </w:rPr>
        <w:t>FIG. 7 illustrates a ledger lifecycle for round-up records and destination-level transfer states.</w:t>
      </w:r>
    </w:p>
    <w:p>
      <w:r>
        <w:br w:type="page"/>
      </w:r>
    </w:p>
    <w:p>
      <w:r>
        <w:drawing>
          <wp:inline xmlns:a="http://schemas.openxmlformats.org/drawingml/2006/main" xmlns:pic="http://schemas.openxmlformats.org/drawingml/2006/picture">
            <wp:extent cx="5486400" cy="6855805"/>
            <wp:docPr id="1" name="Picture 1"/>
            <wp:cNvGraphicFramePr>
              <a:graphicFrameLocks noChangeAspect="1"/>
            </wp:cNvGraphicFramePr>
            <a:graphic>
              <a:graphicData uri="http://schemas.openxmlformats.org/drawingml/2006/picture">
                <pic:pic>
                  <pic:nvPicPr>
                    <pic:cNvPr id="0" name="FIG_1_System_Architecture.png"/>
                    <pic:cNvPicPr/>
                  </pic:nvPicPr>
                  <pic:blipFill>
                    <a:blip r:embed="rId10"/>
                    <a:stretch>
                      <a:fillRect/>
                    </a:stretch>
                  </pic:blipFill>
                  <pic:spPr>
                    <a:xfrm>
                      <a:off x="0" y="0"/>
                      <a:ext cx="5486400" cy="6855805"/>
                    </a:xfrm>
                    <a:prstGeom prst="rect"/>
                  </pic:spPr>
                </pic:pic>
              </a:graphicData>
            </a:graphic>
          </wp:inline>
        </w:drawing>
      </w:r>
    </w:p>
    <w:p>
      <w:pPr>
        <w:jc w:val="center"/>
      </w:pPr>
      <w:r>
        <w:rPr>
          <w:rFonts w:ascii="Times New Roman" w:hAnsi="Times New Roman"/>
          <w:i/>
          <w:sz w:val="22"/>
        </w:rPr>
        <w:t>FIG. 1 — System Architecture</w:t>
      </w:r>
    </w:p>
    <w:p>
      <w:r>
        <w:br w:type="page"/>
      </w:r>
    </w:p>
    <w:p>
      <w:r>
        <w:drawing>
          <wp:inline xmlns:a="http://schemas.openxmlformats.org/drawingml/2006/main" xmlns:pic="http://schemas.openxmlformats.org/drawingml/2006/picture">
            <wp:extent cx="5486400" cy="6855805"/>
            <wp:docPr id="2" name="Picture 2"/>
            <wp:cNvGraphicFramePr>
              <a:graphicFrameLocks noChangeAspect="1"/>
            </wp:cNvGraphicFramePr>
            <a:graphic>
              <a:graphicData uri="http://schemas.openxmlformats.org/drawingml/2006/picture">
                <pic:pic>
                  <pic:nvPicPr>
                    <pic:cNvPr id="0" name="FIG_2_Roundup_Allocation_Flow.png"/>
                    <pic:cNvPicPr/>
                  </pic:nvPicPr>
                  <pic:blipFill>
                    <a:blip r:embed="rId11"/>
                    <a:stretch>
                      <a:fillRect/>
                    </a:stretch>
                  </pic:blipFill>
                  <pic:spPr>
                    <a:xfrm>
                      <a:off x="0" y="0"/>
                      <a:ext cx="5486400" cy="6855805"/>
                    </a:xfrm>
                    <a:prstGeom prst="rect"/>
                  </pic:spPr>
                </pic:pic>
              </a:graphicData>
            </a:graphic>
          </wp:inline>
        </w:drawing>
      </w:r>
    </w:p>
    <w:p>
      <w:pPr>
        <w:jc w:val="center"/>
      </w:pPr>
      <w:r>
        <w:rPr>
          <w:rFonts w:ascii="Times New Roman" w:hAnsi="Times New Roman"/>
          <w:i/>
          <w:sz w:val="22"/>
        </w:rPr>
        <w:t>FIG. 2 — Round-Up Calculation and Allocation Vector Flow</w:t>
      </w:r>
    </w:p>
    <w:p>
      <w:r>
        <w:br w:type="page"/>
      </w:r>
    </w:p>
    <w:p>
      <w:r>
        <w:drawing>
          <wp:inline xmlns:a="http://schemas.openxmlformats.org/drawingml/2006/main" xmlns:pic="http://schemas.openxmlformats.org/drawingml/2006/picture">
            <wp:extent cx="5486400" cy="6855805"/>
            <wp:docPr id="3" name="Picture 3"/>
            <wp:cNvGraphicFramePr>
              <a:graphicFrameLocks noChangeAspect="1"/>
            </wp:cNvGraphicFramePr>
            <a:graphic>
              <a:graphicData uri="http://schemas.openxmlformats.org/drawingml/2006/picture">
                <pic:pic>
                  <pic:nvPicPr>
                    <pic:cNvPr id="0" name="FIG_3_Dual_Destination_Model.png"/>
                    <pic:cNvPicPr/>
                  </pic:nvPicPr>
                  <pic:blipFill>
                    <a:blip r:embed="rId12"/>
                    <a:stretch>
                      <a:fillRect/>
                    </a:stretch>
                  </pic:blipFill>
                  <pic:spPr>
                    <a:xfrm>
                      <a:off x="0" y="0"/>
                      <a:ext cx="5486400" cy="6855805"/>
                    </a:xfrm>
                    <a:prstGeom prst="rect"/>
                  </pic:spPr>
                </pic:pic>
              </a:graphicData>
            </a:graphic>
          </wp:inline>
        </w:drawing>
      </w:r>
    </w:p>
    <w:p>
      <w:pPr>
        <w:jc w:val="center"/>
      </w:pPr>
      <w:r>
        <w:rPr>
          <w:rFonts w:ascii="Times New Roman" w:hAnsi="Times New Roman"/>
          <w:i/>
          <w:sz w:val="22"/>
        </w:rPr>
        <w:t>FIG. 3 — Dual-Destination Allocation Model</w:t>
      </w:r>
    </w:p>
    <w:p>
      <w:r>
        <w:br w:type="page"/>
      </w:r>
    </w:p>
    <w:p>
      <w:r>
        <w:drawing>
          <wp:inline xmlns:a="http://schemas.openxmlformats.org/drawingml/2006/main" xmlns:pic="http://schemas.openxmlformats.org/drawingml/2006/picture">
            <wp:extent cx="5486400" cy="6855805"/>
            <wp:docPr id="4" name="Picture 4"/>
            <wp:cNvGraphicFramePr>
              <a:graphicFrameLocks noChangeAspect="1"/>
            </wp:cNvGraphicFramePr>
            <a:graphic>
              <a:graphicData uri="http://schemas.openxmlformats.org/drawingml/2006/picture">
                <pic:pic>
                  <pic:nvPicPr>
                    <pic:cNvPr id="0" name="FIG_4_N_Destination_Model.png"/>
                    <pic:cNvPicPr/>
                  </pic:nvPicPr>
                  <pic:blipFill>
                    <a:blip r:embed="rId13"/>
                    <a:stretch>
                      <a:fillRect/>
                    </a:stretch>
                  </pic:blipFill>
                  <pic:spPr>
                    <a:xfrm>
                      <a:off x="0" y="0"/>
                      <a:ext cx="5486400" cy="6855805"/>
                    </a:xfrm>
                    <a:prstGeom prst="rect"/>
                  </pic:spPr>
                </pic:pic>
              </a:graphicData>
            </a:graphic>
          </wp:inline>
        </w:drawing>
      </w:r>
    </w:p>
    <w:p>
      <w:pPr>
        <w:jc w:val="center"/>
      </w:pPr>
      <w:r>
        <w:rPr>
          <w:rFonts w:ascii="Times New Roman" w:hAnsi="Times New Roman"/>
          <w:i/>
          <w:sz w:val="22"/>
        </w:rPr>
        <w:t>FIG. 4 — N-Destination Allocation Model</w:t>
      </w:r>
    </w:p>
    <w:p>
      <w:r>
        <w:br w:type="page"/>
      </w:r>
    </w:p>
    <w:p>
      <w:r>
        <w:drawing>
          <wp:inline xmlns:a="http://schemas.openxmlformats.org/drawingml/2006/main" xmlns:pic="http://schemas.openxmlformats.org/drawingml/2006/picture">
            <wp:extent cx="5486400" cy="6855805"/>
            <wp:docPr id="5" name="Picture 5"/>
            <wp:cNvGraphicFramePr>
              <a:graphicFrameLocks noChangeAspect="1"/>
            </wp:cNvGraphicFramePr>
            <a:graphic>
              <a:graphicData uri="http://schemas.openxmlformats.org/drawingml/2006/picture">
                <pic:pic>
                  <pic:nvPicPr>
                    <pic:cNvPr id="0" name="FIG_5_Execution_Workflow.png"/>
                    <pic:cNvPicPr/>
                  </pic:nvPicPr>
                  <pic:blipFill>
                    <a:blip r:embed="rId14"/>
                    <a:stretch>
                      <a:fillRect/>
                    </a:stretch>
                  </pic:blipFill>
                  <pic:spPr>
                    <a:xfrm>
                      <a:off x="0" y="0"/>
                      <a:ext cx="5486400" cy="6855805"/>
                    </a:xfrm>
                    <a:prstGeom prst="rect"/>
                  </pic:spPr>
                </pic:pic>
              </a:graphicData>
            </a:graphic>
          </wp:inline>
        </w:drawing>
      </w:r>
    </w:p>
    <w:p>
      <w:pPr>
        <w:jc w:val="center"/>
      </w:pPr>
      <w:r>
        <w:rPr>
          <w:rFonts w:ascii="Times New Roman" w:hAnsi="Times New Roman"/>
          <w:i/>
          <w:sz w:val="22"/>
        </w:rPr>
        <w:t>FIG. 5 — Execution Orchestration Workflow</w:t>
      </w:r>
    </w:p>
    <w:p>
      <w:r>
        <w:br w:type="page"/>
      </w:r>
    </w:p>
    <w:p>
      <w:r>
        <w:drawing>
          <wp:inline xmlns:a="http://schemas.openxmlformats.org/drawingml/2006/main" xmlns:pic="http://schemas.openxmlformats.org/drawingml/2006/picture">
            <wp:extent cx="5486400" cy="6855805"/>
            <wp:docPr id="6" name="Picture 6"/>
            <wp:cNvGraphicFramePr>
              <a:graphicFrameLocks noChangeAspect="1"/>
            </wp:cNvGraphicFramePr>
            <a:graphic>
              <a:graphicData uri="http://schemas.openxmlformats.org/drawingml/2006/picture">
                <pic:pic>
                  <pic:nvPicPr>
                    <pic:cNvPr id="0" name="FIG_6_User_Allocation_Slider.png"/>
                    <pic:cNvPicPr/>
                  </pic:nvPicPr>
                  <pic:blipFill>
                    <a:blip r:embed="rId15"/>
                    <a:stretch>
                      <a:fillRect/>
                    </a:stretch>
                  </pic:blipFill>
                  <pic:spPr>
                    <a:xfrm>
                      <a:off x="0" y="0"/>
                      <a:ext cx="5486400" cy="6855805"/>
                    </a:xfrm>
                    <a:prstGeom prst="rect"/>
                  </pic:spPr>
                </pic:pic>
              </a:graphicData>
            </a:graphic>
          </wp:inline>
        </w:drawing>
      </w:r>
    </w:p>
    <w:p>
      <w:pPr>
        <w:jc w:val="center"/>
      </w:pPr>
      <w:r>
        <w:rPr>
          <w:rFonts w:ascii="Times New Roman" w:hAnsi="Times New Roman"/>
          <w:i/>
          <w:sz w:val="22"/>
        </w:rPr>
        <w:t>FIG. 6 — User Allocation Slider Interface</w:t>
      </w:r>
    </w:p>
    <w:p>
      <w:r>
        <w:br w:type="page"/>
      </w:r>
    </w:p>
    <w:p>
      <w:r>
        <w:drawing>
          <wp:inline xmlns:a="http://schemas.openxmlformats.org/drawingml/2006/main" xmlns:pic="http://schemas.openxmlformats.org/drawingml/2006/picture">
            <wp:extent cx="5486400" cy="6855805"/>
            <wp:docPr id="7" name="Picture 7"/>
            <wp:cNvGraphicFramePr>
              <a:graphicFrameLocks noChangeAspect="1"/>
            </wp:cNvGraphicFramePr>
            <a:graphic>
              <a:graphicData uri="http://schemas.openxmlformats.org/drawingml/2006/picture">
                <pic:pic>
                  <pic:nvPicPr>
                    <pic:cNvPr id="0" name="FIG_7_Ledger_Lifecycle.png"/>
                    <pic:cNvPicPr/>
                  </pic:nvPicPr>
                  <pic:blipFill>
                    <a:blip r:embed="rId16"/>
                    <a:stretch>
                      <a:fillRect/>
                    </a:stretch>
                  </pic:blipFill>
                  <pic:spPr>
                    <a:xfrm>
                      <a:off x="0" y="0"/>
                      <a:ext cx="5486400" cy="6855805"/>
                    </a:xfrm>
                    <a:prstGeom prst="rect"/>
                  </pic:spPr>
                </pic:pic>
              </a:graphicData>
            </a:graphic>
          </wp:inline>
        </w:drawing>
      </w:r>
    </w:p>
    <w:p>
      <w:pPr>
        <w:jc w:val="center"/>
      </w:pPr>
      <w:r>
        <w:rPr>
          <w:rFonts w:ascii="Times New Roman" w:hAnsi="Times New Roman"/>
          <w:i/>
          <w:sz w:val="22"/>
        </w:rPr>
        <w:t>FIG. 7 — Ledger Lifecycle States</w:t>
      </w:r>
    </w:p>
    <w:p>
      <w:r>
        <w:br w:type="page"/>
      </w:r>
    </w:p>
    <w:p>
      <w:pPr>
        <w:spacing w:before="240" w:after="120"/>
        <w:jc w:val="center"/>
      </w:pPr>
      <w:r>
        <w:rPr>
          <w:rFonts w:ascii="Times New Roman" w:hAnsi="Times New Roman"/>
          <w:b/>
          <w:sz w:val="28"/>
        </w:rPr>
        <w:t>DETAILED DESCRIPTION OF THE INVENTION</w:t>
      </w:r>
    </w:p>
    <w:p>
      <w:pPr>
        <w:spacing w:before="280" w:after="120"/>
      </w:pPr>
      <w:r>
        <w:rPr>
          <w:rFonts w:ascii="Times New Roman" w:hAnsi="Times New Roman"/>
          <w:b/>
          <w:sz w:val="24"/>
        </w:rPr>
        <w:t>1. SYSTEM OVERVIEW</w:t>
      </w:r>
    </w:p>
    <w:p>
      <w:pPr>
        <w:spacing w:after="120"/>
        <w:ind w:firstLine="576"/>
        <w:jc w:val="both"/>
      </w:pPr>
      <w:r>
        <w:rPr>
          <w:rFonts w:ascii="Times New Roman" w:hAnsi="Times New Roman"/>
          <w:sz w:val="24"/>
        </w:rPr>
        <w:t>The system includes:</w:t>
      </w:r>
    </w:p>
    <w:p>
      <w:pPr>
        <w:pStyle w:val="ListBullet"/>
        <w:spacing w:after="40"/>
      </w:pPr>
      <w:r>
        <w:rPr>
          <w:rFonts w:ascii="Times New Roman" w:hAnsi="Times New Roman"/>
          <w:sz w:val="24"/>
        </w:rPr>
        <w:t>A mobile application;</w:t>
      </w:r>
    </w:p>
    <w:p>
      <w:pPr>
        <w:pStyle w:val="ListBullet"/>
        <w:spacing w:after="40"/>
      </w:pPr>
      <w:r>
        <w:rPr>
          <w:rFonts w:ascii="Times New Roman" w:hAnsi="Times New Roman"/>
          <w:sz w:val="24"/>
        </w:rPr>
        <w:t>A backend application server;</w:t>
      </w:r>
    </w:p>
    <w:p>
      <w:pPr>
        <w:pStyle w:val="ListBullet"/>
        <w:spacing w:after="40"/>
      </w:pPr>
      <w:r>
        <w:rPr>
          <w:rFonts w:ascii="Times New Roman" w:hAnsi="Times New Roman"/>
          <w:sz w:val="24"/>
        </w:rPr>
        <w:t>A transaction ingestion module;</w:t>
      </w:r>
    </w:p>
    <w:p>
      <w:pPr>
        <w:pStyle w:val="ListBullet"/>
        <w:spacing w:after="40"/>
      </w:pPr>
      <w:r>
        <w:rPr>
          <w:rFonts w:ascii="Times New Roman" w:hAnsi="Times New Roman"/>
          <w:sz w:val="24"/>
        </w:rPr>
        <w:t>A round-up calculation engine;</w:t>
      </w:r>
    </w:p>
    <w:p>
      <w:pPr>
        <w:pStyle w:val="ListBullet"/>
        <w:spacing w:after="40"/>
      </w:pPr>
      <w:r>
        <w:rPr>
          <w:rFonts w:ascii="Times New Roman" w:hAnsi="Times New Roman"/>
          <w:sz w:val="24"/>
        </w:rPr>
        <w:t>An allocation vector engine;</w:t>
      </w:r>
    </w:p>
    <w:p>
      <w:pPr>
        <w:pStyle w:val="ListBullet"/>
        <w:spacing w:after="40"/>
      </w:pPr>
      <w:r>
        <w:rPr>
          <w:rFonts w:ascii="Times New Roman" w:hAnsi="Times New Roman"/>
          <w:sz w:val="24"/>
        </w:rPr>
        <w:t>A destination routing engine;</w:t>
      </w:r>
    </w:p>
    <w:p>
      <w:pPr>
        <w:pStyle w:val="ListBullet"/>
        <w:spacing w:after="40"/>
      </w:pPr>
      <w:r>
        <w:rPr>
          <w:rFonts w:ascii="Times New Roman" w:hAnsi="Times New Roman"/>
          <w:sz w:val="24"/>
        </w:rPr>
        <w:t>An execution orchestration engine;</w:t>
      </w:r>
    </w:p>
    <w:p>
      <w:pPr>
        <w:pStyle w:val="ListBullet"/>
        <w:spacing w:after="40"/>
      </w:pPr>
      <w:r>
        <w:rPr>
          <w:rFonts w:ascii="Times New Roman" w:hAnsi="Times New Roman"/>
          <w:sz w:val="24"/>
        </w:rPr>
        <w:t>A reconciliation ledger;</w:t>
      </w:r>
    </w:p>
    <w:p>
      <w:pPr>
        <w:pStyle w:val="ListBullet"/>
        <w:spacing w:after="40"/>
      </w:pPr>
      <w:r>
        <w:rPr>
          <w:rFonts w:ascii="Times New Roman" w:hAnsi="Times New Roman"/>
          <w:sz w:val="24"/>
        </w:rPr>
        <w:t>A user interface layer;</w:t>
      </w:r>
    </w:p>
    <w:p>
      <w:pPr>
        <w:pStyle w:val="ListBullet"/>
        <w:spacing w:after="40"/>
      </w:pPr>
      <w:r>
        <w:rPr>
          <w:rFonts w:ascii="Times New Roman" w:hAnsi="Times New Roman"/>
          <w:sz w:val="24"/>
        </w:rPr>
        <w:t>Third-party financial integrations.</w:t>
      </w:r>
    </w:p>
    <w:p>
      <w:pPr>
        <w:spacing w:after="120"/>
        <w:ind w:firstLine="576"/>
        <w:jc w:val="both"/>
      </w:pPr>
      <w:r>
        <w:rPr>
          <w:rFonts w:ascii="Times New Roman" w:hAnsi="Times New Roman"/>
          <w:sz w:val="24"/>
        </w:rPr>
        <w:t>The mobile application may be implemented using React, TypeScript, Capacitor, or another mobile application framework. The backend server may be implemented using Node.js, Express, PostgreSQL, Drizzle ORM, or equivalent backend technologies.</w:t>
      </w:r>
    </w:p>
    <w:p>
      <w:pPr>
        <w:spacing w:after="120"/>
        <w:ind w:firstLine="576"/>
        <w:jc w:val="both"/>
      </w:pPr>
      <w:r>
        <w:rPr>
          <w:rFonts w:ascii="Times New Roman" w:hAnsi="Times New Roman"/>
          <w:sz w:val="24"/>
        </w:rPr>
        <w:t>The system may communicate with third-party providers, including:</w:t>
      </w:r>
    </w:p>
    <w:p>
      <w:pPr>
        <w:pStyle w:val="ListBullet"/>
        <w:spacing w:after="40"/>
      </w:pPr>
      <w:r>
        <w:rPr>
          <w:rFonts w:ascii="Times New Roman" w:hAnsi="Times New Roman"/>
          <w:sz w:val="24"/>
        </w:rPr>
        <w:t>Plaid or similar providers for bank linking, transaction data, and ACH transfer authorization;</w:t>
      </w:r>
    </w:p>
    <w:p>
      <w:pPr>
        <w:pStyle w:val="ListBullet"/>
        <w:spacing w:after="40"/>
      </w:pPr>
      <w:r>
        <w:rPr>
          <w:rFonts w:ascii="Times New Roman" w:hAnsi="Times New Roman"/>
          <w:sz w:val="24"/>
        </w:rPr>
        <w:t>Mercury or similar banking platforms for funding-account operations;</w:t>
      </w:r>
    </w:p>
    <w:p>
      <w:pPr>
        <w:pStyle w:val="ListBullet"/>
        <w:spacing w:after="40"/>
      </w:pPr>
      <w:r>
        <w:rPr>
          <w:rFonts w:ascii="Times New Roman" w:hAnsi="Times New Roman"/>
          <w:sz w:val="24"/>
        </w:rPr>
        <w:t>Coinbase or similar digital asset platforms for cryptocurrency acquisition;</w:t>
      </w:r>
    </w:p>
    <w:p>
      <w:pPr>
        <w:pStyle w:val="ListBullet"/>
        <w:spacing w:after="40"/>
      </w:pPr>
      <w:r>
        <w:rPr>
          <w:rFonts w:ascii="Times New Roman" w:hAnsi="Times New Roman"/>
          <w:sz w:val="24"/>
        </w:rPr>
        <w:t>Debt payment endpoints, loan servicers, card issuers, or bill payment systems.</w:t>
      </w:r>
    </w:p>
    <w:p>
      <w:pPr>
        <w:spacing w:before="280" w:after="120"/>
      </w:pPr>
      <w:r>
        <w:rPr>
          <w:rFonts w:ascii="Times New Roman" w:hAnsi="Times New Roman"/>
          <w:b/>
          <w:sz w:val="24"/>
        </w:rPr>
        <w:t>2. TRANSACTION INGESTION MODULE</w:t>
      </w:r>
    </w:p>
    <w:p>
      <w:pPr>
        <w:spacing w:after="120"/>
        <w:ind w:firstLine="576"/>
        <w:jc w:val="both"/>
      </w:pPr>
      <w:r>
        <w:rPr>
          <w:rFonts w:ascii="Times New Roman" w:hAnsi="Times New Roman"/>
          <w:sz w:val="24"/>
        </w:rPr>
        <w:t>The transaction ingestion module receives transaction data associated with a user-linked financial account.</w:t>
      </w:r>
    </w:p>
    <w:p>
      <w:pPr>
        <w:spacing w:after="120"/>
        <w:ind w:firstLine="576"/>
        <w:jc w:val="both"/>
      </w:pPr>
      <w:r>
        <w:rPr>
          <w:rFonts w:ascii="Times New Roman" w:hAnsi="Times New Roman"/>
          <w:sz w:val="24"/>
        </w:rPr>
        <w:t>Transaction data may include:</w:t>
      </w:r>
    </w:p>
    <w:p>
      <w:pPr>
        <w:pStyle w:val="ListBullet"/>
        <w:spacing w:after="40"/>
      </w:pPr>
      <w:r>
        <w:rPr>
          <w:rFonts w:ascii="Times New Roman" w:hAnsi="Times New Roman"/>
          <w:sz w:val="24"/>
        </w:rPr>
        <w:t>Transaction identifier;</w:t>
      </w:r>
    </w:p>
    <w:p>
      <w:pPr>
        <w:pStyle w:val="ListBullet"/>
        <w:spacing w:after="40"/>
      </w:pPr>
      <w:r>
        <w:rPr>
          <w:rFonts w:ascii="Times New Roman" w:hAnsi="Times New Roman"/>
          <w:sz w:val="24"/>
        </w:rPr>
        <w:t>Merchant name;</w:t>
      </w:r>
    </w:p>
    <w:p>
      <w:pPr>
        <w:pStyle w:val="ListBullet"/>
        <w:spacing w:after="40"/>
      </w:pPr>
      <w:r>
        <w:rPr>
          <w:rFonts w:ascii="Times New Roman" w:hAnsi="Times New Roman"/>
          <w:sz w:val="24"/>
        </w:rPr>
        <w:t>Transaction amount;</w:t>
      </w:r>
    </w:p>
    <w:p>
      <w:pPr>
        <w:pStyle w:val="ListBullet"/>
        <w:spacing w:after="40"/>
      </w:pPr>
      <w:r>
        <w:rPr>
          <w:rFonts w:ascii="Times New Roman" w:hAnsi="Times New Roman"/>
          <w:sz w:val="24"/>
        </w:rPr>
        <w:t>Transaction date;</w:t>
      </w:r>
    </w:p>
    <w:p>
      <w:pPr>
        <w:pStyle w:val="ListBullet"/>
        <w:spacing w:after="40"/>
      </w:pPr>
      <w:r>
        <w:rPr>
          <w:rFonts w:ascii="Times New Roman" w:hAnsi="Times New Roman"/>
          <w:sz w:val="24"/>
        </w:rPr>
        <w:t>Transaction category;</w:t>
      </w:r>
    </w:p>
    <w:p>
      <w:pPr>
        <w:pStyle w:val="ListBullet"/>
        <w:spacing w:after="40"/>
      </w:pPr>
      <w:r>
        <w:rPr>
          <w:rFonts w:ascii="Times New Roman" w:hAnsi="Times New Roman"/>
          <w:sz w:val="24"/>
        </w:rPr>
        <w:t>Account identifier;</w:t>
      </w:r>
    </w:p>
    <w:p>
      <w:pPr>
        <w:pStyle w:val="ListBullet"/>
        <w:spacing w:after="40"/>
      </w:pPr>
      <w:r>
        <w:rPr>
          <w:rFonts w:ascii="Times New Roman" w:hAnsi="Times New Roman"/>
          <w:sz w:val="24"/>
        </w:rPr>
        <w:t>Pending or posted status;</w:t>
      </w:r>
    </w:p>
    <w:p>
      <w:pPr>
        <w:pStyle w:val="ListBullet"/>
        <w:spacing w:after="40"/>
      </w:pPr>
      <w:r>
        <w:rPr>
          <w:rFonts w:ascii="Times New Roman" w:hAnsi="Times New Roman"/>
          <w:sz w:val="24"/>
        </w:rPr>
        <w:t>Currency;</w:t>
      </w:r>
    </w:p>
    <w:p>
      <w:pPr>
        <w:pStyle w:val="ListBullet"/>
        <w:spacing w:after="40"/>
      </w:pPr>
      <w:r>
        <w:rPr>
          <w:rFonts w:ascii="Times New Roman" w:hAnsi="Times New Roman"/>
          <w:sz w:val="24"/>
        </w:rPr>
        <w:t>Authorization status.</w:t>
      </w:r>
    </w:p>
    <w:p>
      <w:pPr>
        <w:spacing w:after="120"/>
        <w:ind w:firstLine="576"/>
        <w:jc w:val="both"/>
      </w:pPr>
      <w:r>
        <w:rPr>
          <w:rFonts w:ascii="Times New Roman" w:hAnsi="Times New Roman"/>
          <w:sz w:val="24"/>
        </w:rPr>
        <w:t>The ingestion module may receive transaction data through:</w:t>
      </w:r>
    </w:p>
    <w:p>
      <w:pPr>
        <w:pStyle w:val="ListBullet"/>
        <w:spacing w:after="40"/>
      </w:pPr>
      <w:r>
        <w:rPr>
          <w:rFonts w:ascii="Times New Roman" w:hAnsi="Times New Roman"/>
          <w:sz w:val="24"/>
        </w:rPr>
        <w:t>Webhooks;</w:t>
      </w:r>
    </w:p>
    <w:p>
      <w:pPr>
        <w:pStyle w:val="ListBullet"/>
        <w:spacing w:after="40"/>
      </w:pPr>
      <w:r>
        <w:rPr>
          <w:rFonts w:ascii="Times New Roman" w:hAnsi="Times New Roman"/>
          <w:sz w:val="24"/>
        </w:rPr>
        <w:t>Periodic sync;</w:t>
      </w:r>
    </w:p>
    <w:p>
      <w:pPr>
        <w:pStyle w:val="ListBullet"/>
        <w:spacing w:after="40"/>
      </w:pPr>
      <w:r>
        <w:rPr>
          <w:rFonts w:ascii="Times New Roman" w:hAnsi="Times New Roman"/>
          <w:sz w:val="24"/>
        </w:rPr>
        <w:t>User-initiated refresh;</w:t>
      </w:r>
    </w:p>
    <w:p>
      <w:pPr>
        <w:pStyle w:val="ListBullet"/>
        <w:spacing w:after="40"/>
      </w:pPr>
      <w:r>
        <w:rPr>
          <w:rFonts w:ascii="Times New Roman" w:hAnsi="Times New Roman"/>
          <w:sz w:val="24"/>
        </w:rPr>
        <w:t>Batch import;</w:t>
      </w:r>
    </w:p>
    <w:p>
      <w:pPr>
        <w:pStyle w:val="ListBullet"/>
        <w:spacing w:after="40"/>
      </w:pPr>
      <w:r>
        <w:rPr>
          <w:rFonts w:ascii="Times New Roman" w:hAnsi="Times New Roman"/>
          <w:sz w:val="24"/>
        </w:rPr>
        <w:t>API polling.</w:t>
      </w:r>
    </w:p>
    <w:p>
      <w:pPr>
        <w:spacing w:after="120"/>
        <w:ind w:firstLine="576"/>
        <w:jc w:val="both"/>
      </w:pPr>
      <w:r>
        <w:rPr>
          <w:rFonts w:ascii="Times New Roman" w:hAnsi="Times New Roman"/>
          <w:sz w:val="24"/>
        </w:rPr>
        <w:t>The system may ignore duplicate transactions using transaction identifiers, account identifiers, timestamps, idempotency keys, or a combination thereof.</w:t>
      </w:r>
    </w:p>
    <w:p>
      <w:pPr>
        <w:spacing w:before="280" w:after="120"/>
      </w:pPr>
      <w:r>
        <w:rPr>
          <w:rFonts w:ascii="Times New Roman" w:hAnsi="Times New Roman"/>
          <w:b/>
          <w:sz w:val="24"/>
        </w:rPr>
        <w:t>3. ROUND-UP CALCULATION ENGINE</w:t>
      </w:r>
    </w:p>
    <w:p>
      <w:pPr>
        <w:spacing w:after="120"/>
        <w:ind w:firstLine="576"/>
        <w:jc w:val="both"/>
      </w:pPr>
      <w:r>
        <w:rPr>
          <w:rFonts w:ascii="Times New Roman" w:hAnsi="Times New Roman"/>
          <w:sz w:val="24"/>
        </w:rPr>
        <w:t>The round-up calculation engine calculates a round-up amount for each eligible transaction.</w:t>
      </w:r>
    </w:p>
    <w:p>
      <w:pPr>
        <w:spacing w:after="120"/>
        <w:ind w:firstLine="576"/>
        <w:jc w:val="both"/>
      </w:pPr>
      <w:r>
        <w:rPr>
          <w:rFonts w:ascii="Times New Roman" w:hAnsi="Times New Roman"/>
          <w:sz w:val="24"/>
        </w:rPr>
        <w:t>Example: Transaction amount: $4.35; Next whole dollar: $5.00; Round-up amount: $0.65.</w:t>
      </w:r>
    </w:p>
    <w:p>
      <w:pPr>
        <w:spacing w:after="120"/>
        <w:ind w:firstLine="576"/>
        <w:jc w:val="both"/>
      </w:pPr>
      <w:r>
        <w:rPr>
          <w:rFonts w:ascii="Times New Roman" w:hAnsi="Times New Roman"/>
          <w:sz w:val="24"/>
        </w:rPr>
        <w:t>Formula: ROUND_UP_AMOUNT = CEILING(TRANSACTION_AMOUNT) − TRANSACTION_AMOUNT.</w:t>
      </w:r>
    </w:p>
    <w:p>
      <w:pPr>
        <w:spacing w:after="120"/>
        <w:ind w:firstLine="576"/>
        <w:jc w:val="both"/>
      </w:pPr>
      <w:r>
        <w:rPr>
          <w:rFonts w:ascii="Times New Roman" w:hAnsi="Times New Roman"/>
          <w:sz w:val="24"/>
        </w:rPr>
        <w:t>For transactions already equal to a whole dollar, the system may:</w:t>
      </w:r>
    </w:p>
    <w:p>
      <w:pPr>
        <w:pStyle w:val="ListBullet"/>
        <w:spacing w:after="40"/>
      </w:pPr>
      <w:r>
        <w:rPr>
          <w:rFonts w:ascii="Times New Roman" w:hAnsi="Times New Roman"/>
          <w:sz w:val="24"/>
        </w:rPr>
        <w:t>Generate a zero round-up;</w:t>
      </w:r>
    </w:p>
    <w:p>
      <w:pPr>
        <w:pStyle w:val="ListBullet"/>
        <w:spacing w:after="40"/>
      </w:pPr>
      <w:r>
        <w:rPr>
          <w:rFonts w:ascii="Times New Roman" w:hAnsi="Times New Roman"/>
          <w:sz w:val="24"/>
        </w:rPr>
        <w:t>Generate a fixed round-up;</w:t>
      </w:r>
    </w:p>
    <w:p>
      <w:pPr>
        <w:pStyle w:val="ListBullet"/>
        <w:spacing w:after="40"/>
      </w:pPr>
      <w:r>
        <w:rPr>
          <w:rFonts w:ascii="Times New Roman" w:hAnsi="Times New Roman"/>
          <w:sz w:val="24"/>
        </w:rPr>
        <w:t>Generate a user-configured minimum round-up;</w:t>
      </w:r>
    </w:p>
    <w:p>
      <w:pPr>
        <w:pStyle w:val="ListBullet"/>
        <w:spacing w:after="40"/>
      </w:pPr>
      <w:r>
        <w:rPr>
          <w:rFonts w:ascii="Times New Roman" w:hAnsi="Times New Roman"/>
          <w:sz w:val="24"/>
        </w:rPr>
        <w:t>Skip the transaction.</w:t>
      </w:r>
    </w:p>
    <w:p>
      <w:pPr>
        <w:spacing w:after="120"/>
        <w:ind w:firstLine="576"/>
        <w:jc w:val="both"/>
      </w:pPr>
      <w:r>
        <w:rPr>
          <w:rFonts w:ascii="Times New Roman" w:hAnsi="Times New Roman"/>
          <w:sz w:val="24"/>
        </w:rPr>
        <w:t>The system may support:</w:t>
      </w:r>
    </w:p>
    <w:p>
      <w:pPr>
        <w:pStyle w:val="ListBullet"/>
        <w:spacing w:after="40"/>
      </w:pPr>
      <w:r>
        <w:rPr>
          <w:rFonts w:ascii="Times New Roman" w:hAnsi="Times New Roman"/>
          <w:sz w:val="24"/>
        </w:rPr>
        <w:t>Whole-dollar round-ups;</w:t>
      </w:r>
    </w:p>
    <w:p>
      <w:pPr>
        <w:pStyle w:val="ListBullet"/>
        <w:spacing w:after="40"/>
      </w:pPr>
      <w:r>
        <w:rPr>
          <w:rFonts w:ascii="Times New Roman" w:hAnsi="Times New Roman"/>
          <w:sz w:val="24"/>
        </w:rPr>
        <w:t>Five-dollar round-ups;</w:t>
      </w:r>
    </w:p>
    <w:p>
      <w:pPr>
        <w:pStyle w:val="ListBullet"/>
        <w:spacing w:after="40"/>
      </w:pPr>
      <w:r>
        <w:rPr>
          <w:rFonts w:ascii="Times New Roman" w:hAnsi="Times New Roman"/>
          <w:sz w:val="24"/>
        </w:rPr>
        <w:t>Ten-dollar round-ups;</w:t>
      </w:r>
    </w:p>
    <w:p>
      <w:pPr>
        <w:pStyle w:val="ListBullet"/>
        <w:spacing w:after="40"/>
      </w:pPr>
      <w:r>
        <w:rPr>
          <w:rFonts w:ascii="Times New Roman" w:hAnsi="Times New Roman"/>
          <w:sz w:val="24"/>
        </w:rPr>
        <w:t>Multiplier round-ups;</w:t>
      </w:r>
    </w:p>
    <w:p>
      <w:pPr>
        <w:pStyle w:val="ListBullet"/>
        <w:spacing w:after="40"/>
      </w:pPr>
      <w:r>
        <w:rPr>
          <w:rFonts w:ascii="Times New Roman" w:hAnsi="Times New Roman"/>
          <w:sz w:val="24"/>
        </w:rPr>
        <w:t>Minimum round-up thresholds;</w:t>
      </w:r>
    </w:p>
    <w:p>
      <w:pPr>
        <w:pStyle w:val="ListBullet"/>
        <w:spacing w:after="40"/>
      </w:pPr>
      <w:r>
        <w:rPr>
          <w:rFonts w:ascii="Times New Roman" w:hAnsi="Times New Roman"/>
          <w:sz w:val="24"/>
        </w:rPr>
        <w:t>Maximum daily, weekly, or monthly limits;</w:t>
      </w:r>
    </w:p>
    <w:p>
      <w:pPr>
        <w:pStyle w:val="ListBullet"/>
        <w:spacing w:after="40"/>
      </w:pPr>
      <w:r>
        <w:rPr>
          <w:rFonts w:ascii="Times New Roman" w:hAnsi="Times New Roman"/>
          <w:sz w:val="24"/>
        </w:rPr>
        <w:t>Merchant-specific rules;</w:t>
      </w:r>
    </w:p>
    <w:p>
      <w:pPr>
        <w:pStyle w:val="ListBullet"/>
        <w:spacing w:after="40"/>
      </w:pPr>
      <w:r>
        <w:rPr>
          <w:rFonts w:ascii="Times New Roman" w:hAnsi="Times New Roman"/>
          <w:sz w:val="24"/>
        </w:rPr>
        <w:t>Category-specific rules.</w:t>
      </w:r>
    </w:p>
    <w:p>
      <w:pPr>
        <w:spacing w:before="280" w:after="120"/>
      </w:pPr>
      <w:r>
        <w:rPr>
          <w:rFonts w:ascii="Times New Roman" w:hAnsi="Times New Roman"/>
          <w:b/>
          <w:sz w:val="24"/>
        </w:rPr>
        <w:t>4. ALLOCATION VECTOR ENGINE</w:t>
      </w:r>
    </w:p>
    <w:p>
      <w:pPr>
        <w:spacing w:after="120"/>
        <w:ind w:firstLine="576"/>
        <w:jc w:val="both"/>
      </w:pPr>
      <w:r>
        <w:rPr>
          <w:rFonts w:ascii="Times New Roman" w:hAnsi="Times New Roman"/>
          <w:sz w:val="24"/>
        </w:rPr>
        <w:t>The allocation vector engine applies a user-defined or system-generated allocation vector to the round-up amount.</w:t>
      </w:r>
    </w:p>
    <w:p>
      <w:pPr>
        <w:spacing w:after="120"/>
        <w:ind w:firstLine="576"/>
        <w:jc w:val="both"/>
      </w:pPr>
      <w:r>
        <w:rPr>
          <w:rFonts w:ascii="Times New Roman" w:hAnsi="Times New Roman"/>
          <w:sz w:val="24"/>
        </w:rPr>
        <w:t>A two-destination vector may be represented as V = [D, A], where D is the percentage allocated to debt repayment, A is the percentage allocated to asset acquisition, and D + A = 100%.</w:t>
      </w:r>
    </w:p>
    <w:p>
      <w:pPr>
        <w:spacing w:after="120"/>
        <w:ind w:firstLine="576"/>
        <w:jc w:val="both"/>
      </w:pPr>
      <w:r>
        <w:rPr>
          <w:rFonts w:ascii="Times New Roman" w:hAnsi="Times New Roman"/>
          <w:sz w:val="24"/>
        </w:rPr>
        <w:t>Example: V = [80, 20]. If round-up amount = $1.00, then debt allocation = $0.80 and Bitcoin allocation = $0.20.</w:t>
      </w:r>
    </w:p>
    <w:p>
      <w:pPr>
        <w:spacing w:after="120"/>
        <w:ind w:firstLine="576"/>
        <w:jc w:val="both"/>
      </w:pPr>
      <w:r>
        <w:rPr>
          <w:rFonts w:ascii="Times New Roman" w:hAnsi="Times New Roman"/>
          <w:sz w:val="24"/>
        </w:rPr>
        <w:t>The allocation vector may support continuous values across the entire 0–100 range, including integer, decimal, or fractional values. Examples include:</w:t>
      </w:r>
    </w:p>
    <w:p>
      <w:pPr>
        <w:pStyle w:val="ListBullet"/>
        <w:spacing w:after="40"/>
      </w:pPr>
      <w:r>
        <w:rPr>
          <w:rFonts w:ascii="Times New Roman" w:hAnsi="Times New Roman"/>
          <w:sz w:val="24"/>
        </w:rPr>
        <w:t>[100, 0]</w:t>
      </w:r>
    </w:p>
    <w:p>
      <w:pPr>
        <w:pStyle w:val="ListBullet"/>
        <w:spacing w:after="40"/>
      </w:pPr>
      <w:r>
        <w:rPr>
          <w:rFonts w:ascii="Times New Roman" w:hAnsi="Times New Roman"/>
          <w:sz w:val="24"/>
        </w:rPr>
        <w:t>[99, 1]</w:t>
      </w:r>
    </w:p>
    <w:p>
      <w:pPr>
        <w:pStyle w:val="ListBullet"/>
        <w:spacing w:after="40"/>
      </w:pPr>
      <w:r>
        <w:rPr>
          <w:rFonts w:ascii="Times New Roman" w:hAnsi="Times New Roman"/>
          <w:sz w:val="24"/>
        </w:rPr>
        <w:t>[80, 20]</w:t>
      </w:r>
    </w:p>
    <w:p>
      <w:pPr>
        <w:pStyle w:val="ListBullet"/>
        <w:spacing w:after="40"/>
      </w:pPr>
      <w:r>
        <w:rPr>
          <w:rFonts w:ascii="Times New Roman" w:hAnsi="Times New Roman"/>
          <w:sz w:val="24"/>
        </w:rPr>
        <w:t>[67.5, 32.5]</w:t>
      </w:r>
    </w:p>
    <w:p>
      <w:pPr>
        <w:pStyle w:val="ListBullet"/>
        <w:spacing w:after="40"/>
      </w:pPr>
      <w:r>
        <w:rPr>
          <w:rFonts w:ascii="Times New Roman" w:hAnsi="Times New Roman"/>
          <w:sz w:val="24"/>
        </w:rPr>
        <w:t>[50, 50]</w:t>
      </w:r>
    </w:p>
    <w:p>
      <w:pPr>
        <w:pStyle w:val="ListBullet"/>
        <w:spacing w:after="40"/>
      </w:pPr>
      <w:r>
        <w:rPr>
          <w:rFonts w:ascii="Times New Roman" w:hAnsi="Times New Roman"/>
          <w:sz w:val="24"/>
        </w:rPr>
        <w:t>[12.25, 87.75]</w:t>
      </w:r>
    </w:p>
    <w:p>
      <w:pPr>
        <w:pStyle w:val="ListBullet"/>
        <w:spacing w:after="40"/>
      </w:pPr>
      <w:r>
        <w:rPr>
          <w:rFonts w:ascii="Times New Roman" w:hAnsi="Times New Roman"/>
          <w:sz w:val="24"/>
        </w:rPr>
        <w:t>[0, 100]</w:t>
      </w:r>
    </w:p>
    <w:p>
      <w:pPr>
        <w:spacing w:before="280" w:after="120"/>
      </w:pPr>
      <w:r>
        <w:rPr>
          <w:rFonts w:ascii="Times New Roman" w:hAnsi="Times New Roman"/>
          <w:b/>
          <w:sz w:val="24"/>
        </w:rPr>
        <w:t>5. N-DESTINATION ALLOCATION MODEL</w:t>
      </w:r>
    </w:p>
    <w:p>
      <w:pPr>
        <w:spacing w:after="120"/>
        <w:ind w:firstLine="576"/>
        <w:jc w:val="both"/>
      </w:pPr>
      <w:r>
        <w:rPr>
          <w:rFonts w:ascii="Times New Roman" w:hAnsi="Times New Roman"/>
          <w:sz w:val="24"/>
        </w:rPr>
        <w:t>The system may extend beyond two destinations.</w:t>
      </w:r>
    </w:p>
    <w:p>
      <w:pPr>
        <w:spacing w:after="120"/>
        <w:ind w:firstLine="576"/>
        <w:jc w:val="both"/>
      </w:pPr>
      <w:r>
        <w:rPr>
          <w:rFonts w:ascii="Times New Roman" w:hAnsi="Times New Roman"/>
          <w:sz w:val="24"/>
        </w:rPr>
        <w:t>An N-destination vector may be represented as V = [w₁, w₂, w₃, ... wₙ], where w₁ + w₂ + w₃ + ... + wₙ = 100%.</w:t>
      </w:r>
    </w:p>
    <w:p>
      <w:pPr>
        <w:spacing w:after="120"/>
        <w:ind w:firstLine="576"/>
        <w:jc w:val="both"/>
      </w:pPr>
      <w:r>
        <w:rPr>
          <w:rFonts w:ascii="Times New Roman" w:hAnsi="Times New Roman"/>
          <w:sz w:val="24"/>
        </w:rPr>
        <w:t>Destinations may include:</w:t>
      </w:r>
    </w:p>
    <w:p>
      <w:pPr>
        <w:pStyle w:val="ListBullet"/>
        <w:spacing w:after="40"/>
      </w:pPr>
      <w:r>
        <w:rPr>
          <w:rFonts w:ascii="Times New Roman" w:hAnsi="Times New Roman"/>
          <w:sz w:val="24"/>
        </w:rPr>
        <w:t>Credit card debt;</w:t>
      </w:r>
    </w:p>
    <w:p>
      <w:pPr>
        <w:pStyle w:val="ListBullet"/>
        <w:spacing w:after="40"/>
      </w:pPr>
      <w:r>
        <w:rPr>
          <w:rFonts w:ascii="Times New Roman" w:hAnsi="Times New Roman"/>
          <w:sz w:val="24"/>
        </w:rPr>
        <w:t>Student loan debt;</w:t>
      </w:r>
    </w:p>
    <w:p>
      <w:pPr>
        <w:pStyle w:val="ListBullet"/>
        <w:spacing w:after="40"/>
      </w:pPr>
      <w:r>
        <w:rPr>
          <w:rFonts w:ascii="Times New Roman" w:hAnsi="Times New Roman"/>
          <w:sz w:val="24"/>
        </w:rPr>
        <w:t>Auto loan debt;</w:t>
      </w:r>
    </w:p>
    <w:p>
      <w:pPr>
        <w:pStyle w:val="ListBullet"/>
        <w:spacing w:after="40"/>
      </w:pPr>
      <w:r>
        <w:rPr>
          <w:rFonts w:ascii="Times New Roman" w:hAnsi="Times New Roman"/>
          <w:sz w:val="24"/>
        </w:rPr>
        <w:t>Mortgage debt;</w:t>
      </w:r>
    </w:p>
    <w:p>
      <w:pPr>
        <w:pStyle w:val="ListBullet"/>
        <w:spacing w:after="40"/>
      </w:pPr>
      <w:r>
        <w:rPr>
          <w:rFonts w:ascii="Times New Roman" w:hAnsi="Times New Roman"/>
          <w:sz w:val="24"/>
        </w:rPr>
        <w:t>Personal loan debt;</w:t>
      </w:r>
    </w:p>
    <w:p>
      <w:pPr>
        <w:pStyle w:val="ListBullet"/>
        <w:spacing w:after="40"/>
      </w:pPr>
      <w:r>
        <w:rPr>
          <w:rFonts w:ascii="Times New Roman" w:hAnsi="Times New Roman"/>
          <w:sz w:val="24"/>
        </w:rPr>
        <w:t>Bitcoin;</w:t>
      </w:r>
    </w:p>
    <w:p>
      <w:pPr>
        <w:pStyle w:val="ListBullet"/>
        <w:spacing w:after="40"/>
      </w:pPr>
      <w:r>
        <w:rPr>
          <w:rFonts w:ascii="Times New Roman" w:hAnsi="Times New Roman"/>
          <w:sz w:val="24"/>
        </w:rPr>
        <w:t>Ethereum;</w:t>
      </w:r>
    </w:p>
    <w:p>
      <w:pPr>
        <w:pStyle w:val="ListBullet"/>
        <w:spacing w:after="40"/>
      </w:pPr>
      <w:r>
        <w:rPr>
          <w:rFonts w:ascii="Times New Roman" w:hAnsi="Times New Roman"/>
          <w:sz w:val="24"/>
        </w:rPr>
        <w:t>Stablecoins;</w:t>
      </w:r>
    </w:p>
    <w:p>
      <w:pPr>
        <w:pStyle w:val="ListBullet"/>
        <w:spacing w:after="40"/>
      </w:pPr>
      <w:r>
        <w:rPr>
          <w:rFonts w:ascii="Times New Roman" w:hAnsi="Times New Roman"/>
          <w:sz w:val="24"/>
        </w:rPr>
        <w:t>Brokerage investments;</w:t>
      </w:r>
    </w:p>
    <w:p>
      <w:pPr>
        <w:pStyle w:val="ListBullet"/>
        <w:spacing w:after="40"/>
      </w:pPr>
      <w:r>
        <w:rPr>
          <w:rFonts w:ascii="Times New Roman" w:hAnsi="Times New Roman"/>
          <w:sz w:val="24"/>
        </w:rPr>
        <w:t>Savings accounts;</w:t>
      </w:r>
    </w:p>
    <w:p>
      <w:pPr>
        <w:pStyle w:val="ListBullet"/>
        <w:spacing w:after="40"/>
      </w:pPr>
      <w:r>
        <w:rPr>
          <w:rFonts w:ascii="Times New Roman" w:hAnsi="Times New Roman"/>
          <w:sz w:val="24"/>
        </w:rPr>
        <w:t>Emergency funds;</w:t>
      </w:r>
    </w:p>
    <w:p>
      <w:pPr>
        <w:pStyle w:val="ListBullet"/>
        <w:spacing w:after="40"/>
      </w:pPr>
      <w:r>
        <w:rPr>
          <w:rFonts w:ascii="Times New Roman" w:hAnsi="Times New Roman"/>
          <w:sz w:val="24"/>
        </w:rPr>
        <w:t>Charitable giving accounts;</w:t>
      </w:r>
    </w:p>
    <w:p>
      <w:pPr>
        <w:pStyle w:val="ListBullet"/>
        <w:spacing w:after="40"/>
      </w:pPr>
      <w:r>
        <w:rPr>
          <w:rFonts w:ascii="Times New Roman" w:hAnsi="Times New Roman"/>
          <w:sz w:val="24"/>
        </w:rPr>
        <w:t>Retirement accounts.</w:t>
      </w:r>
    </w:p>
    <w:p>
      <w:pPr>
        <w:spacing w:after="120"/>
        <w:ind w:firstLine="576"/>
        <w:jc w:val="both"/>
      </w:pPr>
      <w:r>
        <w:rPr>
          <w:rFonts w:ascii="Times New Roman" w:hAnsi="Times New Roman"/>
          <w:sz w:val="24"/>
        </w:rPr>
        <w:t>Example: V = [50 debt, 20 Bitcoin, 20 savings, 10 charity]. For a $2.00 round-up:</w:t>
      </w:r>
    </w:p>
    <w:p>
      <w:pPr>
        <w:pStyle w:val="ListBullet"/>
        <w:spacing w:after="40"/>
      </w:pPr>
      <w:r>
        <w:rPr>
          <w:rFonts w:ascii="Times New Roman" w:hAnsi="Times New Roman"/>
          <w:sz w:val="24"/>
        </w:rPr>
        <w:t>Debt: $1.00</w:t>
      </w:r>
    </w:p>
    <w:p>
      <w:pPr>
        <w:pStyle w:val="ListBullet"/>
        <w:spacing w:after="40"/>
      </w:pPr>
      <w:r>
        <w:rPr>
          <w:rFonts w:ascii="Times New Roman" w:hAnsi="Times New Roman"/>
          <w:sz w:val="24"/>
        </w:rPr>
        <w:t>Bitcoin: $0.40</w:t>
      </w:r>
    </w:p>
    <w:p>
      <w:pPr>
        <w:pStyle w:val="ListBullet"/>
        <w:spacing w:after="40"/>
      </w:pPr>
      <w:r>
        <w:rPr>
          <w:rFonts w:ascii="Times New Roman" w:hAnsi="Times New Roman"/>
          <w:sz w:val="24"/>
        </w:rPr>
        <w:t>Savings: $0.40</w:t>
      </w:r>
    </w:p>
    <w:p>
      <w:pPr>
        <w:pStyle w:val="ListBullet"/>
        <w:spacing w:after="40"/>
      </w:pPr>
      <w:r>
        <w:rPr>
          <w:rFonts w:ascii="Times New Roman" w:hAnsi="Times New Roman"/>
          <w:sz w:val="24"/>
        </w:rPr>
        <w:t>Charity: $0.20</w:t>
      </w:r>
    </w:p>
    <w:p>
      <w:pPr>
        <w:spacing w:before="280" w:after="120"/>
      </w:pPr>
      <w:r>
        <w:rPr>
          <w:rFonts w:ascii="Times New Roman" w:hAnsi="Times New Roman"/>
          <w:b/>
          <w:sz w:val="24"/>
        </w:rPr>
        <w:t>6. DESTINATION ROUTING ENGINE</w:t>
      </w:r>
    </w:p>
    <w:p>
      <w:pPr>
        <w:spacing w:after="120"/>
        <w:ind w:firstLine="576"/>
        <w:jc w:val="both"/>
      </w:pPr>
      <w:r>
        <w:rPr>
          <w:rFonts w:ascii="Times New Roman" w:hAnsi="Times New Roman"/>
          <w:sz w:val="24"/>
        </w:rPr>
        <w:t>The destination routing engine determines where each allocation portion should be sent.</w:t>
      </w:r>
    </w:p>
    <w:p>
      <w:pPr>
        <w:spacing w:after="120"/>
        <w:ind w:firstLine="576"/>
        <w:jc w:val="both"/>
      </w:pPr>
      <w:r>
        <w:rPr>
          <w:rFonts w:ascii="Times New Roman" w:hAnsi="Times New Roman"/>
          <w:sz w:val="24"/>
        </w:rPr>
        <w:t>The routing engine may use:</w:t>
      </w:r>
    </w:p>
    <w:p>
      <w:pPr>
        <w:pStyle w:val="ListBullet"/>
        <w:spacing w:after="40"/>
      </w:pPr>
      <w:r>
        <w:rPr>
          <w:rFonts w:ascii="Times New Roman" w:hAnsi="Times New Roman"/>
          <w:sz w:val="24"/>
        </w:rPr>
        <w:t>User-selected destination accounts;</w:t>
      </w:r>
    </w:p>
    <w:p>
      <w:pPr>
        <w:pStyle w:val="ListBullet"/>
        <w:spacing w:after="40"/>
      </w:pPr>
      <w:r>
        <w:rPr>
          <w:rFonts w:ascii="Times New Roman" w:hAnsi="Times New Roman"/>
          <w:sz w:val="24"/>
        </w:rPr>
        <w:t>Priority ranking;</w:t>
      </w:r>
    </w:p>
    <w:p>
      <w:pPr>
        <w:pStyle w:val="ListBullet"/>
        <w:spacing w:after="40"/>
      </w:pPr>
      <w:r>
        <w:rPr>
          <w:rFonts w:ascii="Times New Roman" w:hAnsi="Times New Roman"/>
          <w:sz w:val="24"/>
        </w:rPr>
        <w:t>Debt interest rate;</w:t>
      </w:r>
    </w:p>
    <w:p>
      <w:pPr>
        <w:pStyle w:val="ListBullet"/>
        <w:spacing w:after="40"/>
      </w:pPr>
      <w:r>
        <w:rPr>
          <w:rFonts w:ascii="Times New Roman" w:hAnsi="Times New Roman"/>
          <w:sz w:val="24"/>
        </w:rPr>
        <w:t>Outstanding balance;</w:t>
      </w:r>
    </w:p>
    <w:p>
      <w:pPr>
        <w:pStyle w:val="ListBullet"/>
        <w:spacing w:after="40"/>
      </w:pPr>
      <w:r>
        <w:rPr>
          <w:rFonts w:ascii="Times New Roman" w:hAnsi="Times New Roman"/>
          <w:sz w:val="24"/>
        </w:rPr>
        <w:t>Asset preference;</w:t>
      </w:r>
    </w:p>
    <w:p>
      <w:pPr>
        <w:pStyle w:val="ListBullet"/>
        <w:spacing w:after="40"/>
      </w:pPr>
      <w:r>
        <w:rPr>
          <w:rFonts w:ascii="Times New Roman" w:hAnsi="Times New Roman"/>
          <w:sz w:val="24"/>
        </w:rPr>
        <w:t>Risk tolerance;</w:t>
      </w:r>
    </w:p>
    <w:p>
      <w:pPr>
        <w:pStyle w:val="ListBullet"/>
        <w:spacing w:after="40"/>
      </w:pPr>
      <w:r>
        <w:rPr>
          <w:rFonts w:ascii="Times New Roman" w:hAnsi="Times New Roman"/>
          <w:sz w:val="24"/>
        </w:rPr>
        <w:t>Recurring schedule;</w:t>
      </w:r>
    </w:p>
    <w:p>
      <w:pPr>
        <w:pStyle w:val="ListBullet"/>
        <w:spacing w:after="40"/>
      </w:pPr>
      <w:r>
        <w:rPr>
          <w:rFonts w:ascii="Times New Roman" w:hAnsi="Times New Roman"/>
          <w:sz w:val="24"/>
        </w:rPr>
        <w:t>Minimum transfer thresholds;</w:t>
      </w:r>
    </w:p>
    <w:p>
      <w:pPr>
        <w:pStyle w:val="ListBullet"/>
        <w:spacing w:after="40"/>
      </w:pPr>
      <w:r>
        <w:rPr>
          <w:rFonts w:ascii="Times New Roman" w:hAnsi="Times New Roman"/>
          <w:sz w:val="24"/>
        </w:rPr>
        <w:t>Destination eligibility rules.</w:t>
      </w:r>
    </w:p>
    <w:p>
      <w:pPr>
        <w:spacing w:after="120"/>
        <w:ind w:firstLine="576"/>
        <w:jc w:val="both"/>
      </w:pPr>
      <w:r>
        <w:rPr>
          <w:rFonts w:ascii="Times New Roman" w:hAnsi="Times New Roman"/>
          <w:sz w:val="24"/>
        </w:rPr>
        <w:t>Debt repayment destinations may include:</w:t>
      </w:r>
    </w:p>
    <w:p>
      <w:pPr>
        <w:pStyle w:val="ListBullet"/>
        <w:spacing w:after="40"/>
      </w:pPr>
      <w:r>
        <w:rPr>
          <w:rFonts w:ascii="Times New Roman" w:hAnsi="Times New Roman"/>
          <w:sz w:val="24"/>
        </w:rPr>
        <w:t>Credit card accounts;</w:t>
      </w:r>
    </w:p>
    <w:p>
      <w:pPr>
        <w:pStyle w:val="ListBullet"/>
        <w:spacing w:after="40"/>
      </w:pPr>
      <w:r>
        <w:rPr>
          <w:rFonts w:ascii="Times New Roman" w:hAnsi="Times New Roman"/>
          <w:sz w:val="24"/>
        </w:rPr>
        <w:t>Loan servicers;</w:t>
      </w:r>
    </w:p>
    <w:p>
      <w:pPr>
        <w:pStyle w:val="ListBullet"/>
        <w:spacing w:after="40"/>
      </w:pPr>
      <w:r>
        <w:rPr>
          <w:rFonts w:ascii="Times New Roman" w:hAnsi="Times New Roman"/>
          <w:sz w:val="24"/>
        </w:rPr>
        <w:t>ACH-enabled bill payment accounts;</w:t>
      </w:r>
    </w:p>
    <w:p>
      <w:pPr>
        <w:pStyle w:val="ListBullet"/>
        <w:spacing w:after="40"/>
      </w:pPr>
      <w:r>
        <w:rPr>
          <w:rFonts w:ascii="Times New Roman" w:hAnsi="Times New Roman"/>
          <w:sz w:val="24"/>
        </w:rPr>
        <w:t>Payment processors;</w:t>
      </w:r>
    </w:p>
    <w:p>
      <w:pPr>
        <w:pStyle w:val="ListBullet"/>
        <w:spacing w:after="40"/>
      </w:pPr>
      <w:r>
        <w:rPr>
          <w:rFonts w:ascii="Times New Roman" w:hAnsi="Times New Roman"/>
          <w:sz w:val="24"/>
        </w:rPr>
        <w:t>Internal pooled repayment accounts.</w:t>
      </w:r>
    </w:p>
    <w:p>
      <w:pPr>
        <w:spacing w:after="120"/>
        <w:ind w:firstLine="576"/>
        <w:jc w:val="both"/>
      </w:pPr>
      <w:r>
        <w:rPr>
          <w:rFonts w:ascii="Times New Roman" w:hAnsi="Times New Roman"/>
          <w:sz w:val="24"/>
        </w:rPr>
        <w:t>Digital asset destinations may include:</w:t>
      </w:r>
    </w:p>
    <w:p>
      <w:pPr>
        <w:pStyle w:val="ListBullet"/>
        <w:spacing w:after="40"/>
      </w:pPr>
      <w:r>
        <w:rPr>
          <w:rFonts w:ascii="Times New Roman" w:hAnsi="Times New Roman"/>
          <w:sz w:val="24"/>
        </w:rPr>
        <w:t>Coinbase accounts;</w:t>
      </w:r>
    </w:p>
    <w:p>
      <w:pPr>
        <w:pStyle w:val="ListBullet"/>
        <w:spacing w:after="40"/>
      </w:pPr>
      <w:r>
        <w:rPr>
          <w:rFonts w:ascii="Times New Roman" w:hAnsi="Times New Roman"/>
          <w:sz w:val="24"/>
        </w:rPr>
        <w:t>Exchange accounts;</w:t>
      </w:r>
    </w:p>
    <w:p>
      <w:pPr>
        <w:pStyle w:val="ListBullet"/>
        <w:spacing w:after="40"/>
      </w:pPr>
      <w:r>
        <w:rPr>
          <w:rFonts w:ascii="Times New Roman" w:hAnsi="Times New Roman"/>
          <w:sz w:val="24"/>
        </w:rPr>
        <w:t>Custodial wallets;</w:t>
      </w:r>
    </w:p>
    <w:p>
      <w:pPr>
        <w:pStyle w:val="ListBullet"/>
        <w:spacing w:after="40"/>
      </w:pPr>
      <w:r>
        <w:rPr>
          <w:rFonts w:ascii="Times New Roman" w:hAnsi="Times New Roman"/>
          <w:sz w:val="24"/>
        </w:rPr>
        <w:t>Non-custodial wallet addresses;</w:t>
      </w:r>
    </w:p>
    <w:p>
      <w:pPr>
        <w:pStyle w:val="ListBullet"/>
        <w:spacing w:after="40"/>
      </w:pPr>
      <w:r>
        <w:rPr>
          <w:rFonts w:ascii="Times New Roman" w:hAnsi="Times New Roman"/>
          <w:sz w:val="24"/>
        </w:rPr>
        <w:t>Brokerage crypto accounts.</w:t>
      </w:r>
    </w:p>
    <w:p>
      <w:pPr>
        <w:spacing w:before="280" w:after="120"/>
      </w:pPr>
      <w:r>
        <w:rPr>
          <w:rFonts w:ascii="Times New Roman" w:hAnsi="Times New Roman"/>
          <w:b/>
          <w:sz w:val="24"/>
        </w:rPr>
        <w:t>7. EXECUTION ORCHESTRATION ENGINE</w:t>
      </w:r>
    </w:p>
    <w:p>
      <w:pPr>
        <w:spacing w:after="120"/>
        <w:ind w:firstLine="576"/>
        <w:jc w:val="both"/>
      </w:pPr>
      <w:r>
        <w:rPr>
          <w:rFonts w:ascii="Times New Roman" w:hAnsi="Times New Roman"/>
          <w:sz w:val="24"/>
        </w:rPr>
        <w:t>The execution orchestration engine manages the financial movement of funds.</w:t>
      </w:r>
    </w:p>
    <w:p>
      <w:pPr>
        <w:spacing w:after="120"/>
        <w:ind w:firstLine="576"/>
        <w:jc w:val="both"/>
      </w:pPr>
      <w:r>
        <w:rPr>
          <w:rFonts w:ascii="Times New Roman" w:hAnsi="Times New Roman"/>
          <w:sz w:val="24"/>
        </w:rPr>
        <w:t>The engine may:</w:t>
      </w:r>
    </w:p>
    <w:p>
      <w:pPr>
        <w:pStyle w:val="ListBullet"/>
        <w:spacing w:after="40"/>
      </w:pPr>
      <w:r>
        <w:rPr>
          <w:rFonts w:ascii="Times New Roman" w:hAnsi="Times New Roman"/>
          <w:sz w:val="24"/>
        </w:rPr>
        <w:t>Create transfer authorization;</w:t>
      </w:r>
    </w:p>
    <w:p>
      <w:pPr>
        <w:pStyle w:val="ListBullet"/>
        <w:spacing w:after="40"/>
      </w:pPr>
      <w:r>
        <w:rPr>
          <w:rFonts w:ascii="Times New Roman" w:hAnsi="Times New Roman"/>
          <w:sz w:val="24"/>
        </w:rPr>
        <w:t>Create ACH transfer;</w:t>
      </w:r>
    </w:p>
    <w:p>
      <w:pPr>
        <w:pStyle w:val="ListBullet"/>
        <w:spacing w:after="40"/>
      </w:pPr>
      <w:r>
        <w:rPr>
          <w:rFonts w:ascii="Times New Roman" w:hAnsi="Times New Roman"/>
          <w:sz w:val="24"/>
        </w:rPr>
        <w:t>Monitor transfer status;</w:t>
      </w:r>
    </w:p>
    <w:p>
      <w:pPr>
        <w:pStyle w:val="ListBullet"/>
        <w:spacing w:after="40"/>
      </w:pPr>
      <w:r>
        <w:rPr>
          <w:rFonts w:ascii="Times New Roman" w:hAnsi="Times New Roman"/>
          <w:sz w:val="24"/>
        </w:rPr>
        <w:t>Execute debt payment;</w:t>
      </w:r>
    </w:p>
    <w:p>
      <w:pPr>
        <w:pStyle w:val="ListBullet"/>
        <w:spacing w:after="40"/>
      </w:pPr>
      <w:r>
        <w:rPr>
          <w:rFonts w:ascii="Times New Roman" w:hAnsi="Times New Roman"/>
          <w:sz w:val="24"/>
        </w:rPr>
        <w:t>Execute digital asset purchase;</w:t>
      </w:r>
    </w:p>
    <w:p>
      <w:pPr>
        <w:pStyle w:val="ListBullet"/>
        <w:spacing w:after="40"/>
      </w:pPr>
      <w:r>
        <w:rPr>
          <w:rFonts w:ascii="Times New Roman" w:hAnsi="Times New Roman"/>
          <w:sz w:val="24"/>
        </w:rPr>
        <w:t>Record success or failure;</w:t>
      </w:r>
    </w:p>
    <w:p>
      <w:pPr>
        <w:pStyle w:val="ListBullet"/>
        <w:spacing w:after="40"/>
      </w:pPr>
      <w:r>
        <w:rPr>
          <w:rFonts w:ascii="Times New Roman" w:hAnsi="Times New Roman"/>
          <w:sz w:val="24"/>
        </w:rPr>
        <w:t>Retry eligible failed actions;</w:t>
      </w:r>
    </w:p>
    <w:p>
      <w:pPr>
        <w:pStyle w:val="ListBullet"/>
        <w:spacing w:after="40"/>
      </w:pPr>
      <w:r>
        <w:rPr>
          <w:rFonts w:ascii="Times New Roman" w:hAnsi="Times New Roman"/>
          <w:sz w:val="24"/>
        </w:rPr>
        <w:t>Reverse or cancel pending actions;</w:t>
      </w:r>
    </w:p>
    <w:p>
      <w:pPr>
        <w:pStyle w:val="ListBullet"/>
        <w:spacing w:after="40"/>
      </w:pPr>
      <w:r>
        <w:rPr>
          <w:rFonts w:ascii="Times New Roman" w:hAnsi="Times New Roman"/>
          <w:sz w:val="24"/>
        </w:rPr>
        <w:t>Reconcile settled items.</w:t>
      </w:r>
    </w:p>
    <w:p>
      <w:pPr>
        <w:spacing w:after="120"/>
        <w:ind w:firstLine="576"/>
        <w:jc w:val="both"/>
      </w:pPr>
      <w:r>
        <w:rPr>
          <w:rFonts w:ascii="Times New Roman" w:hAnsi="Times New Roman"/>
          <w:sz w:val="24"/>
        </w:rPr>
        <w:t>The execution may include:</w:t>
      </w:r>
    </w:p>
    <w:p>
      <w:pPr>
        <w:pStyle w:val="ListBullet"/>
        <w:spacing w:after="40"/>
      </w:pPr>
      <w:r>
        <w:rPr>
          <w:rFonts w:ascii="Times New Roman" w:hAnsi="Times New Roman"/>
          <w:sz w:val="24"/>
        </w:rPr>
        <w:t>Round-up record created;</w:t>
      </w:r>
    </w:p>
    <w:p>
      <w:pPr>
        <w:pStyle w:val="ListBullet"/>
        <w:spacing w:after="40"/>
      </w:pPr>
      <w:r>
        <w:rPr>
          <w:rFonts w:ascii="Times New Roman" w:hAnsi="Times New Roman"/>
          <w:sz w:val="24"/>
        </w:rPr>
        <w:t>Transfer authorization requested;</w:t>
      </w:r>
    </w:p>
    <w:p>
      <w:pPr>
        <w:pStyle w:val="ListBullet"/>
        <w:spacing w:after="40"/>
      </w:pPr>
      <w:r>
        <w:rPr>
          <w:rFonts w:ascii="Times New Roman" w:hAnsi="Times New Roman"/>
          <w:sz w:val="24"/>
        </w:rPr>
        <w:t>ACH transfer created;</w:t>
      </w:r>
    </w:p>
    <w:p>
      <w:pPr>
        <w:pStyle w:val="ListBullet"/>
        <w:spacing w:after="40"/>
      </w:pPr>
      <w:r>
        <w:rPr>
          <w:rFonts w:ascii="Times New Roman" w:hAnsi="Times New Roman"/>
          <w:sz w:val="24"/>
        </w:rPr>
        <w:t>Transfer pending;</w:t>
      </w:r>
    </w:p>
    <w:p>
      <w:pPr>
        <w:pStyle w:val="ListBullet"/>
        <w:spacing w:after="40"/>
      </w:pPr>
      <w:r>
        <w:rPr>
          <w:rFonts w:ascii="Times New Roman" w:hAnsi="Times New Roman"/>
          <w:sz w:val="24"/>
        </w:rPr>
        <w:t>Transfer posted;</w:t>
      </w:r>
    </w:p>
    <w:p>
      <w:pPr>
        <w:pStyle w:val="ListBullet"/>
        <w:spacing w:after="40"/>
      </w:pPr>
      <w:r>
        <w:rPr>
          <w:rFonts w:ascii="Times New Roman" w:hAnsi="Times New Roman"/>
          <w:sz w:val="24"/>
        </w:rPr>
        <w:t>Funds settled;</w:t>
      </w:r>
    </w:p>
    <w:p>
      <w:pPr>
        <w:pStyle w:val="ListBullet"/>
        <w:spacing w:after="40"/>
      </w:pPr>
      <w:r>
        <w:rPr>
          <w:rFonts w:ascii="Times New Roman" w:hAnsi="Times New Roman"/>
          <w:sz w:val="24"/>
        </w:rPr>
        <w:t>Destination payment initiated;</w:t>
      </w:r>
    </w:p>
    <w:p>
      <w:pPr>
        <w:pStyle w:val="ListBullet"/>
        <w:spacing w:after="40"/>
      </w:pPr>
      <w:r>
        <w:rPr>
          <w:rFonts w:ascii="Times New Roman" w:hAnsi="Times New Roman"/>
          <w:sz w:val="24"/>
        </w:rPr>
        <w:t>Destination payment settled;</w:t>
      </w:r>
    </w:p>
    <w:p>
      <w:pPr>
        <w:pStyle w:val="ListBullet"/>
        <w:spacing w:after="40"/>
      </w:pPr>
      <w:r>
        <w:rPr>
          <w:rFonts w:ascii="Times New Roman" w:hAnsi="Times New Roman"/>
          <w:sz w:val="24"/>
        </w:rPr>
        <w:t>Ledger updated.</w:t>
      </w:r>
    </w:p>
    <w:p>
      <w:pPr>
        <w:spacing w:before="280" w:after="120"/>
      </w:pPr>
      <w:r>
        <w:rPr>
          <w:rFonts w:ascii="Times New Roman" w:hAnsi="Times New Roman"/>
          <w:b/>
          <w:sz w:val="24"/>
        </w:rPr>
        <w:t>8. IDEMPOTENCY AND DUPLICATE PREVENTION</w:t>
      </w:r>
    </w:p>
    <w:p>
      <w:pPr>
        <w:spacing w:after="120"/>
        <w:ind w:firstLine="576"/>
        <w:jc w:val="both"/>
      </w:pPr>
      <w:r>
        <w:rPr>
          <w:rFonts w:ascii="Times New Roman" w:hAnsi="Times New Roman"/>
          <w:sz w:val="24"/>
        </w:rPr>
        <w:t>The system may generate idempotency keys for:</w:t>
      </w:r>
    </w:p>
    <w:p>
      <w:pPr>
        <w:pStyle w:val="ListBullet"/>
        <w:spacing w:after="40"/>
      </w:pPr>
      <w:r>
        <w:rPr>
          <w:rFonts w:ascii="Times New Roman" w:hAnsi="Times New Roman"/>
          <w:sz w:val="24"/>
        </w:rPr>
        <w:t>Transaction ingestion;</w:t>
      </w:r>
    </w:p>
    <w:p>
      <w:pPr>
        <w:pStyle w:val="ListBullet"/>
        <w:spacing w:after="40"/>
      </w:pPr>
      <w:r>
        <w:rPr>
          <w:rFonts w:ascii="Times New Roman" w:hAnsi="Times New Roman"/>
          <w:sz w:val="24"/>
        </w:rPr>
        <w:t>Round-up creation;</w:t>
      </w:r>
    </w:p>
    <w:p>
      <w:pPr>
        <w:pStyle w:val="ListBullet"/>
        <w:spacing w:after="40"/>
      </w:pPr>
      <w:r>
        <w:rPr>
          <w:rFonts w:ascii="Times New Roman" w:hAnsi="Times New Roman"/>
          <w:sz w:val="24"/>
        </w:rPr>
        <w:t>ACH authorization;</w:t>
      </w:r>
    </w:p>
    <w:p>
      <w:pPr>
        <w:pStyle w:val="ListBullet"/>
        <w:spacing w:after="40"/>
      </w:pPr>
      <w:r>
        <w:rPr>
          <w:rFonts w:ascii="Times New Roman" w:hAnsi="Times New Roman"/>
          <w:sz w:val="24"/>
        </w:rPr>
        <w:t>Transfer creation;</w:t>
      </w:r>
    </w:p>
    <w:p>
      <w:pPr>
        <w:pStyle w:val="ListBullet"/>
        <w:spacing w:after="40"/>
      </w:pPr>
      <w:r>
        <w:rPr>
          <w:rFonts w:ascii="Times New Roman" w:hAnsi="Times New Roman"/>
          <w:sz w:val="24"/>
        </w:rPr>
        <w:t>Debt payment execution;</w:t>
      </w:r>
    </w:p>
    <w:p>
      <w:pPr>
        <w:pStyle w:val="ListBullet"/>
        <w:spacing w:after="40"/>
      </w:pPr>
      <w:r>
        <w:rPr>
          <w:rFonts w:ascii="Times New Roman" w:hAnsi="Times New Roman"/>
          <w:sz w:val="24"/>
        </w:rPr>
        <w:t>Digital asset purchase execution;</w:t>
      </w:r>
    </w:p>
    <w:p>
      <w:pPr>
        <w:pStyle w:val="ListBullet"/>
        <w:spacing w:after="40"/>
      </w:pPr>
      <w:r>
        <w:rPr>
          <w:rFonts w:ascii="Times New Roman" w:hAnsi="Times New Roman"/>
          <w:sz w:val="24"/>
        </w:rPr>
        <w:t>Ledger reconciliation.</w:t>
      </w:r>
    </w:p>
    <w:p>
      <w:pPr>
        <w:spacing w:after="120"/>
        <w:ind w:firstLine="576"/>
        <w:jc w:val="both"/>
      </w:pPr>
      <w:r>
        <w:rPr>
          <w:rFonts w:ascii="Times New Roman" w:hAnsi="Times New Roman"/>
          <w:sz w:val="24"/>
        </w:rPr>
        <w:t>An idempotency key may be derived from:</w:t>
      </w:r>
    </w:p>
    <w:p>
      <w:pPr>
        <w:pStyle w:val="ListBullet"/>
        <w:spacing w:after="40"/>
      </w:pPr>
      <w:r>
        <w:rPr>
          <w:rFonts w:ascii="Times New Roman" w:hAnsi="Times New Roman"/>
          <w:sz w:val="24"/>
        </w:rPr>
        <w:t>User ID;</w:t>
      </w:r>
    </w:p>
    <w:p>
      <w:pPr>
        <w:pStyle w:val="ListBullet"/>
        <w:spacing w:after="40"/>
      </w:pPr>
      <w:r>
        <w:rPr>
          <w:rFonts w:ascii="Times New Roman" w:hAnsi="Times New Roman"/>
          <w:sz w:val="24"/>
        </w:rPr>
        <w:t>Transaction ID;</w:t>
      </w:r>
    </w:p>
    <w:p>
      <w:pPr>
        <w:pStyle w:val="ListBullet"/>
        <w:spacing w:after="40"/>
      </w:pPr>
      <w:r>
        <w:rPr>
          <w:rFonts w:ascii="Times New Roman" w:hAnsi="Times New Roman"/>
          <w:sz w:val="24"/>
        </w:rPr>
        <w:t>Account ID;</w:t>
      </w:r>
    </w:p>
    <w:p>
      <w:pPr>
        <w:pStyle w:val="ListBullet"/>
        <w:spacing w:after="40"/>
      </w:pPr>
      <w:r>
        <w:rPr>
          <w:rFonts w:ascii="Times New Roman" w:hAnsi="Times New Roman"/>
          <w:sz w:val="24"/>
        </w:rPr>
        <w:t>Allocation vector version;</w:t>
      </w:r>
    </w:p>
    <w:p>
      <w:pPr>
        <w:pStyle w:val="ListBullet"/>
        <w:spacing w:after="40"/>
      </w:pPr>
      <w:r>
        <w:rPr>
          <w:rFonts w:ascii="Times New Roman" w:hAnsi="Times New Roman"/>
          <w:sz w:val="24"/>
        </w:rPr>
        <w:t>Destination ID;</w:t>
      </w:r>
    </w:p>
    <w:p>
      <w:pPr>
        <w:pStyle w:val="ListBullet"/>
        <w:spacing w:after="40"/>
      </w:pPr>
      <w:r>
        <w:rPr>
          <w:rFonts w:ascii="Times New Roman" w:hAnsi="Times New Roman"/>
          <w:sz w:val="24"/>
        </w:rPr>
        <w:t>Timestamp;</w:t>
      </w:r>
    </w:p>
    <w:p>
      <w:pPr>
        <w:pStyle w:val="ListBullet"/>
        <w:spacing w:after="40"/>
      </w:pPr>
      <w:r>
        <w:rPr>
          <w:rFonts w:ascii="Times New Roman" w:hAnsi="Times New Roman"/>
          <w:sz w:val="24"/>
        </w:rPr>
        <w:t>Transfer attempt number.</w:t>
      </w:r>
    </w:p>
    <w:p>
      <w:pPr>
        <w:spacing w:after="120"/>
        <w:ind w:firstLine="576"/>
        <w:jc w:val="both"/>
      </w:pPr>
      <w:r>
        <w:rPr>
          <w:rFonts w:ascii="Times New Roman" w:hAnsi="Times New Roman"/>
          <w:sz w:val="24"/>
        </w:rPr>
        <w:t>This prevents duplicate payments or duplicate asset purchases from the same source transaction.</w:t>
      </w:r>
    </w:p>
    <w:p>
      <w:pPr>
        <w:spacing w:before="280" w:after="120"/>
      </w:pPr>
      <w:r>
        <w:rPr>
          <w:rFonts w:ascii="Times New Roman" w:hAnsi="Times New Roman"/>
          <w:b/>
          <w:sz w:val="24"/>
        </w:rPr>
        <w:t>9. RECONCILIATION LEDGER</w:t>
      </w:r>
    </w:p>
    <w:p>
      <w:pPr>
        <w:spacing w:after="120"/>
        <w:ind w:firstLine="576"/>
        <w:jc w:val="both"/>
      </w:pPr>
      <w:r>
        <w:rPr>
          <w:rFonts w:ascii="Times New Roman" w:hAnsi="Times New Roman"/>
          <w:sz w:val="24"/>
        </w:rPr>
        <w:t>The reconciliation ledger stores each round-up event and allocation portion.</w:t>
      </w:r>
    </w:p>
    <w:p>
      <w:pPr>
        <w:spacing w:after="120"/>
        <w:ind w:firstLine="576"/>
        <w:jc w:val="both"/>
      </w:pPr>
      <w:r>
        <w:rPr>
          <w:rFonts w:ascii="Times New Roman" w:hAnsi="Times New Roman"/>
          <w:sz w:val="24"/>
        </w:rPr>
        <w:t>Ledger states may include:</w:t>
      </w:r>
    </w:p>
    <w:p>
      <w:pPr>
        <w:pStyle w:val="ListBullet"/>
        <w:spacing w:after="40"/>
      </w:pPr>
      <w:r>
        <w:rPr>
          <w:rFonts w:ascii="Times New Roman" w:hAnsi="Times New Roman"/>
          <w:sz w:val="24"/>
        </w:rPr>
        <w:t>created;</w:t>
      </w:r>
    </w:p>
    <w:p>
      <w:pPr>
        <w:pStyle w:val="ListBullet"/>
        <w:spacing w:after="40"/>
      </w:pPr>
      <w:r>
        <w:rPr>
          <w:rFonts w:ascii="Times New Roman" w:hAnsi="Times New Roman"/>
          <w:sz w:val="24"/>
        </w:rPr>
        <w:t>calculated;</w:t>
      </w:r>
    </w:p>
    <w:p>
      <w:pPr>
        <w:pStyle w:val="ListBullet"/>
        <w:spacing w:after="40"/>
      </w:pPr>
      <w:r>
        <w:rPr>
          <w:rFonts w:ascii="Times New Roman" w:hAnsi="Times New Roman"/>
          <w:sz w:val="24"/>
        </w:rPr>
        <w:t>authorized;</w:t>
      </w:r>
    </w:p>
    <w:p>
      <w:pPr>
        <w:pStyle w:val="ListBullet"/>
        <w:spacing w:after="40"/>
      </w:pPr>
      <w:r>
        <w:rPr>
          <w:rFonts w:ascii="Times New Roman" w:hAnsi="Times New Roman"/>
          <w:sz w:val="24"/>
        </w:rPr>
        <w:t>pending;</w:t>
      </w:r>
    </w:p>
    <w:p>
      <w:pPr>
        <w:pStyle w:val="ListBullet"/>
        <w:spacing w:after="40"/>
      </w:pPr>
      <w:r>
        <w:rPr>
          <w:rFonts w:ascii="Times New Roman" w:hAnsi="Times New Roman"/>
          <w:sz w:val="24"/>
        </w:rPr>
        <w:t>posted;</w:t>
      </w:r>
    </w:p>
    <w:p>
      <w:pPr>
        <w:pStyle w:val="ListBullet"/>
        <w:spacing w:after="40"/>
      </w:pPr>
      <w:r>
        <w:rPr>
          <w:rFonts w:ascii="Times New Roman" w:hAnsi="Times New Roman"/>
          <w:sz w:val="24"/>
        </w:rPr>
        <w:t>settled;</w:t>
      </w:r>
    </w:p>
    <w:p>
      <w:pPr>
        <w:pStyle w:val="ListBullet"/>
        <w:spacing w:after="40"/>
      </w:pPr>
      <w:r>
        <w:rPr>
          <w:rFonts w:ascii="Times New Roman" w:hAnsi="Times New Roman"/>
          <w:sz w:val="24"/>
        </w:rPr>
        <w:t>failed;</w:t>
      </w:r>
    </w:p>
    <w:p>
      <w:pPr>
        <w:pStyle w:val="ListBullet"/>
        <w:spacing w:after="40"/>
      </w:pPr>
      <w:r>
        <w:rPr>
          <w:rFonts w:ascii="Times New Roman" w:hAnsi="Times New Roman"/>
          <w:sz w:val="24"/>
        </w:rPr>
        <w:t>returned;</w:t>
      </w:r>
    </w:p>
    <w:p>
      <w:pPr>
        <w:pStyle w:val="ListBullet"/>
        <w:spacing w:after="40"/>
      </w:pPr>
      <w:r>
        <w:rPr>
          <w:rFonts w:ascii="Times New Roman" w:hAnsi="Times New Roman"/>
          <w:sz w:val="24"/>
        </w:rPr>
        <w:t>canceled;</w:t>
      </w:r>
    </w:p>
    <w:p>
      <w:pPr>
        <w:pStyle w:val="ListBullet"/>
        <w:spacing w:after="40"/>
      </w:pPr>
      <w:r>
        <w:rPr>
          <w:rFonts w:ascii="Times New Roman" w:hAnsi="Times New Roman"/>
          <w:sz w:val="24"/>
        </w:rPr>
        <w:t>reversed;</w:t>
      </w:r>
    </w:p>
    <w:p>
      <w:pPr>
        <w:pStyle w:val="ListBullet"/>
        <w:spacing w:after="40"/>
      </w:pPr>
      <w:r>
        <w:rPr>
          <w:rFonts w:ascii="Times New Roman" w:hAnsi="Times New Roman"/>
          <w:sz w:val="24"/>
        </w:rPr>
        <w:t>reconciled.</w:t>
      </w:r>
    </w:p>
    <w:p>
      <w:pPr>
        <w:spacing w:after="120"/>
        <w:ind w:firstLine="576"/>
        <w:jc w:val="both"/>
      </w:pPr>
      <w:r>
        <w:rPr>
          <w:rFonts w:ascii="Times New Roman" w:hAnsi="Times New Roman"/>
          <w:sz w:val="24"/>
        </w:rPr>
        <w:t>Each ledger entry may include:</w:t>
      </w:r>
    </w:p>
    <w:p>
      <w:pPr>
        <w:pStyle w:val="ListBullet"/>
        <w:spacing w:after="40"/>
      </w:pPr>
      <w:r>
        <w:rPr>
          <w:rFonts w:ascii="Times New Roman" w:hAnsi="Times New Roman"/>
          <w:sz w:val="24"/>
        </w:rPr>
        <w:t>User ID;</w:t>
      </w:r>
    </w:p>
    <w:p>
      <w:pPr>
        <w:pStyle w:val="ListBullet"/>
        <w:spacing w:after="40"/>
      </w:pPr>
      <w:r>
        <w:rPr>
          <w:rFonts w:ascii="Times New Roman" w:hAnsi="Times New Roman"/>
          <w:sz w:val="24"/>
        </w:rPr>
        <w:t>Transaction ID;</w:t>
      </w:r>
    </w:p>
    <w:p>
      <w:pPr>
        <w:pStyle w:val="ListBullet"/>
        <w:spacing w:after="40"/>
      </w:pPr>
      <w:r>
        <w:rPr>
          <w:rFonts w:ascii="Times New Roman" w:hAnsi="Times New Roman"/>
          <w:sz w:val="24"/>
        </w:rPr>
        <w:t>Source account ID;</w:t>
      </w:r>
    </w:p>
    <w:p>
      <w:pPr>
        <w:pStyle w:val="ListBullet"/>
        <w:spacing w:after="40"/>
      </w:pPr>
      <w:r>
        <w:rPr>
          <w:rFonts w:ascii="Times New Roman" w:hAnsi="Times New Roman"/>
          <w:sz w:val="24"/>
        </w:rPr>
        <w:t>Original transaction amount;</w:t>
      </w:r>
    </w:p>
    <w:p>
      <w:pPr>
        <w:pStyle w:val="ListBullet"/>
        <w:spacing w:after="40"/>
      </w:pPr>
      <w:r>
        <w:rPr>
          <w:rFonts w:ascii="Times New Roman" w:hAnsi="Times New Roman"/>
          <w:sz w:val="24"/>
        </w:rPr>
        <w:t>Round-up amount;</w:t>
      </w:r>
    </w:p>
    <w:p>
      <w:pPr>
        <w:pStyle w:val="ListBullet"/>
        <w:spacing w:after="40"/>
      </w:pPr>
      <w:r>
        <w:rPr>
          <w:rFonts w:ascii="Times New Roman" w:hAnsi="Times New Roman"/>
          <w:sz w:val="24"/>
        </w:rPr>
        <w:t>Allocation vector;</w:t>
      </w:r>
    </w:p>
    <w:p>
      <w:pPr>
        <w:pStyle w:val="ListBullet"/>
        <w:spacing w:after="40"/>
      </w:pPr>
      <w:r>
        <w:rPr>
          <w:rFonts w:ascii="Times New Roman" w:hAnsi="Times New Roman"/>
          <w:sz w:val="24"/>
        </w:rPr>
        <w:t>Destination IDs;</w:t>
      </w:r>
    </w:p>
    <w:p>
      <w:pPr>
        <w:pStyle w:val="ListBullet"/>
        <w:spacing w:after="40"/>
      </w:pPr>
      <w:r>
        <w:rPr>
          <w:rFonts w:ascii="Times New Roman" w:hAnsi="Times New Roman"/>
          <w:sz w:val="24"/>
        </w:rPr>
        <w:t>Allocation amounts;</w:t>
      </w:r>
    </w:p>
    <w:p>
      <w:pPr>
        <w:pStyle w:val="ListBullet"/>
        <w:spacing w:after="40"/>
      </w:pPr>
      <w:r>
        <w:rPr>
          <w:rFonts w:ascii="Times New Roman" w:hAnsi="Times New Roman"/>
          <w:sz w:val="24"/>
        </w:rPr>
        <w:t>Transfer IDs;</w:t>
      </w:r>
    </w:p>
    <w:p>
      <w:pPr>
        <w:pStyle w:val="ListBullet"/>
        <w:spacing w:after="40"/>
      </w:pPr>
      <w:r>
        <w:rPr>
          <w:rFonts w:ascii="Times New Roman" w:hAnsi="Times New Roman"/>
          <w:sz w:val="24"/>
        </w:rPr>
        <w:t>Payment IDs;</w:t>
      </w:r>
    </w:p>
    <w:p>
      <w:pPr>
        <w:pStyle w:val="ListBullet"/>
        <w:spacing w:after="40"/>
      </w:pPr>
      <w:r>
        <w:rPr>
          <w:rFonts w:ascii="Times New Roman" w:hAnsi="Times New Roman"/>
          <w:sz w:val="24"/>
        </w:rPr>
        <w:t>Crypto order IDs;</w:t>
      </w:r>
    </w:p>
    <w:p>
      <w:pPr>
        <w:pStyle w:val="ListBullet"/>
        <w:spacing w:after="40"/>
      </w:pPr>
      <w:r>
        <w:rPr>
          <w:rFonts w:ascii="Times New Roman" w:hAnsi="Times New Roman"/>
          <w:sz w:val="24"/>
        </w:rPr>
        <w:t>Status;</w:t>
      </w:r>
    </w:p>
    <w:p>
      <w:pPr>
        <w:pStyle w:val="ListBullet"/>
        <w:spacing w:after="40"/>
      </w:pPr>
      <w:r>
        <w:rPr>
          <w:rFonts w:ascii="Times New Roman" w:hAnsi="Times New Roman"/>
          <w:sz w:val="24"/>
        </w:rPr>
        <w:t>Error codes;</w:t>
      </w:r>
    </w:p>
    <w:p>
      <w:pPr>
        <w:pStyle w:val="ListBullet"/>
        <w:spacing w:after="40"/>
      </w:pPr>
      <w:r>
        <w:rPr>
          <w:rFonts w:ascii="Times New Roman" w:hAnsi="Times New Roman"/>
          <w:sz w:val="24"/>
        </w:rPr>
        <w:t>Retry count;</w:t>
      </w:r>
    </w:p>
    <w:p>
      <w:pPr>
        <w:pStyle w:val="ListBullet"/>
        <w:spacing w:after="40"/>
      </w:pPr>
      <w:r>
        <w:rPr>
          <w:rFonts w:ascii="Times New Roman" w:hAnsi="Times New Roman"/>
          <w:sz w:val="24"/>
        </w:rPr>
        <w:t>Settlement timestamps.</w:t>
      </w:r>
    </w:p>
    <w:p>
      <w:pPr>
        <w:spacing w:before="280" w:after="120"/>
      </w:pPr>
      <w:r>
        <w:rPr>
          <w:rFonts w:ascii="Times New Roman" w:hAnsi="Times New Roman"/>
          <w:b/>
          <w:sz w:val="24"/>
        </w:rPr>
        <w:t>10. USER INTERFACE LAYER</w:t>
      </w:r>
    </w:p>
    <w:p>
      <w:pPr>
        <w:spacing w:after="120"/>
        <w:ind w:firstLine="576"/>
        <w:jc w:val="both"/>
      </w:pPr>
      <w:r>
        <w:rPr>
          <w:rFonts w:ascii="Times New Roman" w:hAnsi="Times New Roman"/>
          <w:sz w:val="24"/>
        </w:rPr>
        <w:t>The user interface may include:</w:t>
      </w:r>
    </w:p>
    <w:p>
      <w:pPr>
        <w:pStyle w:val="ListBullet"/>
        <w:spacing w:after="40"/>
      </w:pPr>
      <w:r>
        <w:rPr>
          <w:rFonts w:ascii="Times New Roman" w:hAnsi="Times New Roman"/>
          <w:sz w:val="24"/>
        </w:rPr>
        <w:t>Bank-linking screen;</w:t>
      </w:r>
    </w:p>
    <w:p>
      <w:pPr>
        <w:pStyle w:val="ListBullet"/>
        <w:spacing w:after="40"/>
      </w:pPr>
      <w:r>
        <w:rPr>
          <w:rFonts w:ascii="Times New Roman" w:hAnsi="Times New Roman"/>
          <w:sz w:val="24"/>
        </w:rPr>
        <w:t>Dashboard;</w:t>
      </w:r>
    </w:p>
    <w:p>
      <w:pPr>
        <w:pStyle w:val="ListBullet"/>
        <w:spacing w:after="40"/>
      </w:pPr>
      <w:r>
        <w:rPr>
          <w:rFonts w:ascii="Times New Roman" w:hAnsi="Times New Roman"/>
          <w:sz w:val="24"/>
        </w:rPr>
        <w:t>Round-up history;</w:t>
      </w:r>
    </w:p>
    <w:p>
      <w:pPr>
        <w:pStyle w:val="ListBullet"/>
        <w:spacing w:after="40"/>
      </w:pPr>
      <w:r>
        <w:rPr>
          <w:rFonts w:ascii="Times New Roman" w:hAnsi="Times New Roman"/>
          <w:sz w:val="24"/>
        </w:rPr>
        <w:t>Debt destination setup;</w:t>
      </w:r>
    </w:p>
    <w:p>
      <w:pPr>
        <w:pStyle w:val="ListBullet"/>
        <w:spacing w:after="40"/>
      </w:pPr>
      <w:r>
        <w:rPr>
          <w:rFonts w:ascii="Times New Roman" w:hAnsi="Times New Roman"/>
          <w:sz w:val="24"/>
        </w:rPr>
        <w:t>Crypto destination setup;</w:t>
      </w:r>
    </w:p>
    <w:p>
      <w:pPr>
        <w:pStyle w:val="ListBullet"/>
        <w:spacing w:after="40"/>
      </w:pPr>
      <w:r>
        <w:rPr>
          <w:rFonts w:ascii="Times New Roman" w:hAnsi="Times New Roman"/>
          <w:sz w:val="24"/>
        </w:rPr>
        <w:t>Allocation slider;</w:t>
      </w:r>
    </w:p>
    <w:p>
      <w:pPr>
        <w:pStyle w:val="ListBullet"/>
        <w:spacing w:after="40"/>
      </w:pPr>
      <w:r>
        <w:rPr>
          <w:rFonts w:ascii="Times New Roman" w:hAnsi="Times New Roman"/>
          <w:sz w:val="24"/>
        </w:rPr>
        <w:t>Progress tracker;</w:t>
      </w:r>
    </w:p>
    <w:p>
      <w:pPr>
        <w:pStyle w:val="ListBullet"/>
        <w:spacing w:after="40"/>
      </w:pPr>
      <w:r>
        <w:rPr>
          <w:rFonts w:ascii="Times New Roman" w:hAnsi="Times New Roman"/>
          <w:sz w:val="24"/>
        </w:rPr>
        <w:t>Transfer status screen;</w:t>
      </w:r>
    </w:p>
    <w:p>
      <w:pPr>
        <w:pStyle w:val="ListBullet"/>
        <w:spacing w:after="40"/>
      </w:pPr>
      <w:r>
        <w:rPr>
          <w:rFonts w:ascii="Times New Roman" w:hAnsi="Times New Roman"/>
          <w:sz w:val="24"/>
        </w:rPr>
        <w:t>Settings screen.</w:t>
      </w:r>
    </w:p>
    <w:p>
      <w:pPr>
        <w:spacing w:after="120"/>
        <w:ind w:firstLine="576"/>
        <w:jc w:val="both"/>
      </w:pPr>
      <w:r>
        <w:rPr>
          <w:rFonts w:ascii="Times New Roman" w:hAnsi="Times New Roman"/>
          <w:sz w:val="24"/>
        </w:rPr>
        <w:t>The allocation slider may allow the user to choose:</w:t>
      </w:r>
    </w:p>
    <w:p>
      <w:pPr>
        <w:pStyle w:val="ListBullet"/>
        <w:spacing w:after="40"/>
      </w:pPr>
      <w:r>
        <w:rPr>
          <w:rFonts w:ascii="Times New Roman" w:hAnsi="Times New Roman"/>
          <w:sz w:val="24"/>
        </w:rPr>
        <w:t>100% debt / 0% Bitcoin</w:t>
      </w:r>
    </w:p>
    <w:p>
      <w:pPr>
        <w:pStyle w:val="ListBullet"/>
        <w:spacing w:after="40"/>
      </w:pPr>
      <w:r>
        <w:rPr>
          <w:rFonts w:ascii="Times New Roman" w:hAnsi="Times New Roman"/>
          <w:sz w:val="24"/>
        </w:rPr>
        <w:t>80% debt / 20% Bitcoin</w:t>
      </w:r>
    </w:p>
    <w:p>
      <w:pPr>
        <w:pStyle w:val="ListBullet"/>
        <w:spacing w:after="40"/>
      </w:pPr>
      <w:r>
        <w:rPr>
          <w:rFonts w:ascii="Times New Roman" w:hAnsi="Times New Roman"/>
          <w:sz w:val="24"/>
        </w:rPr>
        <w:t>50% debt / 50% Bitcoin</w:t>
      </w:r>
    </w:p>
    <w:p>
      <w:pPr>
        <w:pStyle w:val="ListBullet"/>
        <w:spacing w:after="40"/>
      </w:pPr>
      <w:r>
        <w:rPr>
          <w:rFonts w:ascii="Times New Roman" w:hAnsi="Times New Roman"/>
          <w:sz w:val="24"/>
        </w:rPr>
        <w:t>20% debt / 80% Bitcoin</w:t>
      </w:r>
    </w:p>
    <w:p>
      <w:pPr>
        <w:pStyle w:val="ListBullet"/>
        <w:spacing w:after="40"/>
      </w:pPr>
      <w:r>
        <w:rPr>
          <w:rFonts w:ascii="Times New Roman" w:hAnsi="Times New Roman"/>
          <w:sz w:val="24"/>
        </w:rPr>
        <w:t>0% debt / 100% Bitcoin</w:t>
      </w:r>
    </w:p>
    <w:p>
      <w:pPr>
        <w:spacing w:after="120"/>
        <w:ind w:firstLine="576"/>
        <w:jc w:val="both"/>
      </w:pPr>
      <w:r>
        <w:rPr>
          <w:rFonts w:ascii="Times New Roman" w:hAnsi="Times New Roman"/>
          <w:sz w:val="24"/>
        </w:rPr>
        <w:t>The interface may display:</w:t>
      </w:r>
    </w:p>
    <w:p>
      <w:pPr>
        <w:pStyle w:val="ListBullet"/>
        <w:spacing w:after="40"/>
      </w:pPr>
      <w:r>
        <w:rPr>
          <w:rFonts w:ascii="Times New Roman" w:hAnsi="Times New Roman"/>
          <w:sz w:val="24"/>
        </w:rPr>
        <w:t>Projected debt payoff acceleration;</w:t>
      </w:r>
    </w:p>
    <w:p>
      <w:pPr>
        <w:pStyle w:val="ListBullet"/>
        <w:spacing w:after="40"/>
      </w:pPr>
      <w:r>
        <w:rPr>
          <w:rFonts w:ascii="Times New Roman" w:hAnsi="Times New Roman"/>
          <w:sz w:val="24"/>
        </w:rPr>
        <w:t>Bitcoin accumulation estimate;</w:t>
      </w:r>
    </w:p>
    <w:p>
      <w:pPr>
        <w:pStyle w:val="ListBullet"/>
        <w:spacing w:after="40"/>
      </w:pPr>
      <w:r>
        <w:rPr>
          <w:rFonts w:ascii="Times New Roman" w:hAnsi="Times New Roman"/>
          <w:sz w:val="24"/>
        </w:rPr>
        <w:t>Monthly round-up volume;</w:t>
      </w:r>
    </w:p>
    <w:p>
      <w:pPr>
        <w:pStyle w:val="ListBullet"/>
        <w:spacing w:after="40"/>
      </w:pPr>
      <w:r>
        <w:rPr>
          <w:rFonts w:ascii="Times New Roman" w:hAnsi="Times New Roman"/>
          <w:sz w:val="24"/>
        </w:rPr>
        <w:t>Total amount allocated;</w:t>
      </w:r>
    </w:p>
    <w:p>
      <w:pPr>
        <w:pStyle w:val="ListBullet"/>
        <w:spacing w:after="40"/>
      </w:pPr>
      <w:r>
        <w:rPr>
          <w:rFonts w:ascii="Times New Roman" w:hAnsi="Times New Roman"/>
          <w:sz w:val="24"/>
        </w:rPr>
        <w:t>Total debt reduced;</w:t>
      </w:r>
    </w:p>
    <w:p>
      <w:pPr>
        <w:pStyle w:val="ListBullet"/>
        <w:spacing w:after="40"/>
      </w:pPr>
      <w:r>
        <w:rPr>
          <w:rFonts w:ascii="Times New Roman" w:hAnsi="Times New Roman"/>
          <w:sz w:val="24"/>
        </w:rPr>
        <w:t>Total assets acquired.</w:t>
      </w:r>
    </w:p>
    <w:p>
      <w:pPr>
        <w:spacing w:before="280" w:after="120"/>
      </w:pPr>
      <w:r>
        <w:rPr>
          <w:rFonts w:ascii="Times New Roman" w:hAnsi="Times New Roman"/>
          <w:b/>
          <w:sz w:val="24"/>
        </w:rPr>
        <w:t>11. DYNAMIC ALLOCATION EMBODIMENTS</w:t>
      </w:r>
    </w:p>
    <w:p>
      <w:pPr>
        <w:spacing w:after="120"/>
        <w:ind w:firstLine="576"/>
        <w:jc w:val="both"/>
      </w:pPr>
      <w:r>
        <w:rPr>
          <w:rFonts w:ascii="Times New Roman" w:hAnsi="Times New Roman"/>
          <w:sz w:val="24"/>
        </w:rPr>
        <w:t>The allocation vector may be static, user-defined, or dynamically adjusted.</w:t>
      </w:r>
    </w:p>
    <w:p>
      <w:pPr>
        <w:spacing w:after="120"/>
        <w:ind w:firstLine="576"/>
        <w:jc w:val="both"/>
      </w:pPr>
      <w:r>
        <w:rPr>
          <w:rFonts w:ascii="Times New Roman" w:hAnsi="Times New Roman"/>
          <w:sz w:val="24"/>
        </w:rPr>
        <w:t>Dynamic adjustment may consider:</w:t>
      </w:r>
    </w:p>
    <w:p>
      <w:pPr>
        <w:pStyle w:val="ListBullet"/>
        <w:spacing w:after="40"/>
      </w:pPr>
      <w:r>
        <w:rPr>
          <w:rFonts w:ascii="Times New Roman" w:hAnsi="Times New Roman"/>
          <w:sz w:val="24"/>
        </w:rPr>
        <w:t>Debt interest rate;</w:t>
      </w:r>
    </w:p>
    <w:p>
      <w:pPr>
        <w:pStyle w:val="ListBullet"/>
        <w:spacing w:after="40"/>
      </w:pPr>
      <w:r>
        <w:rPr>
          <w:rFonts w:ascii="Times New Roman" w:hAnsi="Times New Roman"/>
          <w:sz w:val="24"/>
        </w:rPr>
        <w:t>Debt balance;</w:t>
      </w:r>
    </w:p>
    <w:p>
      <w:pPr>
        <w:pStyle w:val="ListBullet"/>
        <w:spacing w:after="40"/>
      </w:pPr>
      <w:r>
        <w:rPr>
          <w:rFonts w:ascii="Times New Roman" w:hAnsi="Times New Roman"/>
          <w:sz w:val="24"/>
        </w:rPr>
        <w:t>User income;</w:t>
      </w:r>
    </w:p>
    <w:p>
      <w:pPr>
        <w:pStyle w:val="ListBullet"/>
        <w:spacing w:after="40"/>
      </w:pPr>
      <w:r>
        <w:rPr>
          <w:rFonts w:ascii="Times New Roman" w:hAnsi="Times New Roman"/>
          <w:sz w:val="24"/>
        </w:rPr>
        <w:t>Spending behavior;</w:t>
      </w:r>
    </w:p>
    <w:p>
      <w:pPr>
        <w:pStyle w:val="ListBullet"/>
        <w:spacing w:after="40"/>
      </w:pPr>
      <w:r>
        <w:rPr>
          <w:rFonts w:ascii="Times New Roman" w:hAnsi="Times New Roman"/>
          <w:sz w:val="24"/>
        </w:rPr>
        <w:t>Market volatility;</w:t>
      </w:r>
    </w:p>
    <w:p>
      <w:pPr>
        <w:pStyle w:val="ListBullet"/>
        <w:spacing w:after="40"/>
      </w:pPr>
      <w:r>
        <w:rPr>
          <w:rFonts w:ascii="Times New Roman" w:hAnsi="Times New Roman"/>
          <w:sz w:val="24"/>
        </w:rPr>
        <w:t>Bitcoin price movement;</w:t>
      </w:r>
    </w:p>
    <w:p>
      <w:pPr>
        <w:pStyle w:val="ListBullet"/>
        <w:spacing w:after="40"/>
      </w:pPr>
      <w:r>
        <w:rPr>
          <w:rFonts w:ascii="Times New Roman" w:hAnsi="Times New Roman"/>
          <w:sz w:val="24"/>
        </w:rPr>
        <w:t>User risk preference;</w:t>
      </w:r>
    </w:p>
    <w:p>
      <w:pPr>
        <w:pStyle w:val="ListBullet"/>
        <w:spacing w:after="40"/>
      </w:pPr>
      <w:r>
        <w:rPr>
          <w:rFonts w:ascii="Times New Roman" w:hAnsi="Times New Roman"/>
          <w:sz w:val="24"/>
        </w:rPr>
        <w:t>Emergency fund status;</w:t>
      </w:r>
    </w:p>
    <w:p>
      <w:pPr>
        <w:pStyle w:val="ListBullet"/>
        <w:spacing w:after="40"/>
      </w:pPr>
      <w:r>
        <w:rPr>
          <w:rFonts w:ascii="Times New Roman" w:hAnsi="Times New Roman"/>
          <w:sz w:val="24"/>
        </w:rPr>
        <w:t>Payment due dates;</w:t>
      </w:r>
    </w:p>
    <w:p>
      <w:pPr>
        <w:pStyle w:val="ListBullet"/>
        <w:spacing w:after="40"/>
      </w:pPr>
      <w:r>
        <w:rPr>
          <w:rFonts w:ascii="Times New Roman" w:hAnsi="Times New Roman"/>
          <w:sz w:val="24"/>
        </w:rPr>
        <w:t>Delinquency risk;</w:t>
      </w:r>
    </w:p>
    <w:p>
      <w:pPr>
        <w:pStyle w:val="ListBullet"/>
        <w:spacing w:after="40"/>
      </w:pPr>
      <w:r>
        <w:rPr>
          <w:rFonts w:ascii="Times New Roman" w:hAnsi="Times New Roman"/>
          <w:sz w:val="24"/>
        </w:rPr>
        <w:t>Cash flow thresholds.</w:t>
      </w:r>
    </w:p>
    <w:p>
      <w:pPr>
        <w:spacing w:after="120"/>
        <w:ind w:firstLine="576"/>
        <w:jc w:val="both"/>
      </w:pPr>
      <w:r>
        <w:rPr>
          <w:rFonts w:ascii="Times New Roman" w:hAnsi="Times New Roman"/>
          <w:sz w:val="24"/>
        </w:rPr>
        <w:t>Example: If a user's credit card APR exceeds a threshold, the system may increase the debt allocation percentage.</w:t>
      </w:r>
    </w:p>
    <w:p>
      <w:pPr>
        <w:spacing w:after="120"/>
        <w:ind w:firstLine="576"/>
        <w:jc w:val="both"/>
      </w:pPr>
      <w:r>
        <w:rPr>
          <w:rFonts w:ascii="Times New Roman" w:hAnsi="Times New Roman"/>
          <w:sz w:val="24"/>
        </w:rPr>
        <w:t>Example: If Bitcoin price decreases by a threshold and the user has enabled opportunistic buying, the system may increase the digital asset allocation percentage.</w:t>
      </w:r>
    </w:p>
    <w:p>
      <w:pPr>
        <w:spacing w:after="120"/>
        <w:ind w:firstLine="576"/>
        <w:jc w:val="both"/>
      </w:pPr>
      <w:r>
        <w:rPr>
          <w:rFonts w:ascii="Times New Roman" w:hAnsi="Times New Roman"/>
          <w:sz w:val="24"/>
        </w:rPr>
        <w:t>Example: If the user's bank balance drops below a safety threshold, the system may pause transfers.</w:t>
      </w:r>
    </w:p>
    <w:p>
      <w:pPr>
        <w:spacing w:before="280" w:after="120"/>
      </w:pPr>
      <w:r>
        <w:rPr>
          <w:rFonts w:ascii="Times New Roman" w:hAnsi="Times New Roman"/>
          <w:b/>
          <w:sz w:val="24"/>
        </w:rPr>
        <w:t>12. SECURITY EMBODIMENTS</w:t>
      </w:r>
    </w:p>
    <w:p>
      <w:pPr>
        <w:spacing w:after="120"/>
        <w:ind w:firstLine="576"/>
        <w:jc w:val="both"/>
      </w:pPr>
      <w:r>
        <w:rPr>
          <w:rFonts w:ascii="Times New Roman" w:hAnsi="Times New Roman"/>
          <w:sz w:val="24"/>
        </w:rPr>
        <w:t>The system may include:</w:t>
      </w:r>
    </w:p>
    <w:p>
      <w:pPr>
        <w:pStyle w:val="ListBullet"/>
        <w:spacing w:after="40"/>
      </w:pPr>
      <w:r>
        <w:rPr>
          <w:rFonts w:ascii="Times New Roman" w:hAnsi="Times New Roman"/>
          <w:sz w:val="24"/>
        </w:rPr>
        <w:t>Encrypted access tokens;</w:t>
      </w:r>
    </w:p>
    <w:p>
      <w:pPr>
        <w:pStyle w:val="ListBullet"/>
        <w:spacing w:after="40"/>
      </w:pPr>
      <w:r>
        <w:rPr>
          <w:rFonts w:ascii="Times New Roman" w:hAnsi="Times New Roman"/>
          <w:sz w:val="24"/>
        </w:rPr>
        <w:t>AES-256-GCM encryption;</w:t>
      </w:r>
    </w:p>
    <w:p>
      <w:pPr>
        <w:pStyle w:val="ListBullet"/>
        <w:spacing w:after="40"/>
      </w:pPr>
      <w:r>
        <w:rPr>
          <w:rFonts w:ascii="Times New Roman" w:hAnsi="Times New Roman"/>
          <w:sz w:val="24"/>
        </w:rPr>
        <w:t>Hashed user credentials;</w:t>
      </w:r>
    </w:p>
    <w:p>
      <w:pPr>
        <w:pStyle w:val="ListBullet"/>
        <w:spacing w:after="40"/>
      </w:pPr>
      <w:r>
        <w:rPr>
          <w:rFonts w:ascii="Times New Roman" w:hAnsi="Times New Roman"/>
          <w:sz w:val="24"/>
        </w:rPr>
        <w:t>HMAC verification for webhooks;</w:t>
      </w:r>
    </w:p>
    <w:p>
      <w:pPr>
        <w:pStyle w:val="ListBullet"/>
        <w:spacing w:after="40"/>
      </w:pPr>
      <w:r>
        <w:rPr>
          <w:rFonts w:ascii="Times New Roman" w:hAnsi="Times New Roman"/>
          <w:sz w:val="24"/>
        </w:rPr>
        <w:t>Role-based access control;</w:t>
      </w:r>
    </w:p>
    <w:p>
      <w:pPr>
        <w:pStyle w:val="ListBullet"/>
        <w:spacing w:after="40"/>
      </w:pPr>
      <w:r>
        <w:rPr>
          <w:rFonts w:ascii="Times New Roman" w:hAnsi="Times New Roman"/>
          <w:sz w:val="24"/>
        </w:rPr>
        <w:t>Device-level authentication;</w:t>
      </w:r>
    </w:p>
    <w:p>
      <w:pPr>
        <w:pStyle w:val="ListBullet"/>
        <w:spacing w:after="40"/>
      </w:pPr>
      <w:r>
        <w:rPr>
          <w:rFonts w:ascii="Times New Roman" w:hAnsi="Times New Roman"/>
          <w:sz w:val="24"/>
        </w:rPr>
        <w:t>Secure session handling;</w:t>
      </w:r>
    </w:p>
    <w:p>
      <w:pPr>
        <w:pStyle w:val="ListBullet"/>
        <w:spacing w:after="40"/>
      </w:pPr>
      <w:r>
        <w:rPr>
          <w:rFonts w:ascii="Times New Roman" w:hAnsi="Times New Roman"/>
          <w:sz w:val="24"/>
        </w:rPr>
        <w:t>Audit logs;</w:t>
      </w:r>
    </w:p>
    <w:p>
      <w:pPr>
        <w:pStyle w:val="ListBullet"/>
        <w:spacing w:after="40"/>
      </w:pPr>
      <w:r>
        <w:rPr>
          <w:rFonts w:ascii="Times New Roman" w:hAnsi="Times New Roman"/>
          <w:sz w:val="24"/>
        </w:rPr>
        <w:t>Transfer limits;</w:t>
      </w:r>
    </w:p>
    <w:p>
      <w:pPr>
        <w:pStyle w:val="ListBullet"/>
        <w:spacing w:after="40"/>
      </w:pPr>
      <w:r>
        <w:rPr>
          <w:rFonts w:ascii="Times New Roman" w:hAnsi="Times New Roman"/>
          <w:sz w:val="24"/>
        </w:rPr>
        <w:t>Fraud detection rules.</w:t>
      </w:r>
    </w:p>
    <w:p>
      <w:pPr>
        <w:spacing w:after="120"/>
        <w:ind w:firstLine="576"/>
        <w:jc w:val="both"/>
      </w:pPr>
      <w:r>
        <w:rPr>
          <w:rFonts w:ascii="Times New Roman" w:hAnsi="Times New Roman"/>
          <w:sz w:val="24"/>
        </w:rPr>
        <w:t>Sensitive tokens may be encrypted at rest and decrypted only when required for transaction execution.</w:t>
      </w:r>
    </w:p>
    <w:p>
      <w:pPr>
        <w:spacing w:before="280" w:after="120"/>
      </w:pPr>
      <w:r>
        <w:rPr>
          <w:rFonts w:ascii="Times New Roman" w:hAnsi="Times New Roman"/>
          <w:b/>
          <w:sz w:val="24"/>
        </w:rPr>
        <w:t>13. EXAMPLE USE CASE</w:t>
      </w:r>
    </w:p>
    <w:p>
      <w:pPr>
        <w:spacing w:after="120"/>
        <w:ind w:firstLine="576"/>
        <w:jc w:val="both"/>
      </w:pPr>
      <w:r>
        <w:rPr>
          <w:rFonts w:ascii="Times New Roman" w:hAnsi="Times New Roman"/>
          <w:sz w:val="24"/>
        </w:rPr>
        <w:t>A user buys coffee for $4.35.</w:t>
      </w:r>
    </w:p>
    <w:p>
      <w:pPr>
        <w:spacing w:after="120"/>
        <w:ind w:firstLine="576"/>
        <w:jc w:val="both"/>
      </w:pPr>
      <w:r>
        <w:rPr>
          <w:rFonts w:ascii="Times New Roman" w:hAnsi="Times New Roman"/>
          <w:sz w:val="24"/>
        </w:rPr>
        <w:t>The system performs the following steps:</w:t>
      </w:r>
    </w:p>
    <w:p>
      <w:pPr>
        <w:pStyle w:val="ListBullet"/>
        <w:spacing w:after="40"/>
      </w:pPr>
      <w:r>
        <w:rPr>
          <w:rFonts w:ascii="Times New Roman" w:hAnsi="Times New Roman"/>
          <w:sz w:val="24"/>
        </w:rPr>
        <w:t>Receives transaction data.</w:t>
      </w:r>
    </w:p>
    <w:p>
      <w:pPr>
        <w:pStyle w:val="ListBullet"/>
        <w:spacing w:after="40"/>
      </w:pPr>
      <w:r>
        <w:rPr>
          <w:rFonts w:ascii="Times New Roman" w:hAnsi="Times New Roman"/>
          <w:sz w:val="24"/>
        </w:rPr>
        <w:t>Calculates round-up: $5.00 − $4.35 = $0.65.</w:t>
      </w:r>
    </w:p>
    <w:p>
      <w:pPr>
        <w:pStyle w:val="ListBullet"/>
        <w:spacing w:after="40"/>
      </w:pPr>
      <w:r>
        <w:rPr>
          <w:rFonts w:ascii="Times New Roman" w:hAnsi="Times New Roman"/>
          <w:sz w:val="24"/>
        </w:rPr>
        <w:t>Retrieves the user-defined allocation vector V = [80%, 20%], where 80% is allocated to debt repayment and 20% is allocated to digital asset acquisition.</w:t>
      </w:r>
    </w:p>
    <w:p>
      <w:pPr>
        <w:pStyle w:val="ListBullet"/>
        <w:spacing w:after="40"/>
      </w:pPr>
      <w:r>
        <w:rPr>
          <w:rFonts w:ascii="Times New Roman" w:hAnsi="Times New Roman"/>
          <w:sz w:val="24"/>
        </w:rPr>
        <w:t>Applies allocation vector: Debt allocation = $0.65 × 0.80 = $0.52; Bitcoin allocation = $0.65 × 0.20 = $0.13.</w:t>
      </w:r>
    </w:p>
    <w:p>
      <w:pPr>
        <w:pStyle w:val="ListBullet"/>
        <w:spacing w:after="40"/>
      </w:pPr>
      <w:r>
        <w:rPr>
          <w:rFonts w:ascii="Times New Roman" w:hAnsi="Times New Roman"/>
          <w:sz w:val="24"/>
        </w:rPr>
        <w:t>Creates a ledger entry containing transaction ID, source account ID, original transaction amount, round-up amount, allocation vector, destination records, and initial state CREATED.</w:t>
      </w:r>
    </w:p>
    <w:p>
      <w:pPr>
        <w:pStyle w:val="ListBullet"/>
        <w:spacing w:after="40"/>
      </w:pPr>
      <w:r>
        <w:rPr>
          <w:rFonts w:ascii="Times New Roman" w:hAnsi="Times New Roman"/>
          <w:sz w:val="24"/>
        </w:rPr>
        <w:t>Transitions ledger entry to CALCULATED after verifying round-up computation and allocation splits.</w:t>
      </w:r>
    </w:p>
    <w:p>
      <w:pPr>
        <w:pStyle w:val="ListBullet"/>
        <w:spacing w:after="40"/>
      </w:pPr>
      <w:r>
        <w:rPr>
          <w:rFonts w:ascii="Times New Roman" w:hAnsi="Times New Roman"/>
          <w:sz w:val="24"/>
        </w:rPr>
        <w:t>Aggregates multiple round-up events until a minimum transfer threshold is reached.</w:t>
      </w:r>
    </w:p>
    <w:p>
      <w:pPr>
        <w:pStyle w:val="ListBullet"/>
        <w:spacing w:after="40"/>
      </w:pPr>
      <w:r>
        <w:rPr>
          <w:rFonts w:ascii="Times New Roman" w:hAnsi="Times New Roman"/>
          <w:sz w:val="24"/>
        </w:rPr>
        <w:t>Authorization phase: transfer authorization is requested and approved (state: AUTHORIZED).</w:t>
      </w:r>
    </w:p>
    <w:p>
      <w:pPr>
        <w:pStyle w:val="ListBullet"/>
        <w:spacing w:after="40"/>
      </w:pPr>
      <w:r>
        <w:rPr>
          <w:rFonts w:ascii="Times New Roman" w:hAnsi="Times New Roman"/>
          <w:sz w:val="24"/>
        </w:rPr>
        <w:t>Transfer creation: ACH transfer is created and submitted (state: PENDING).</w:t>
      </w:r>
    </w:p>
    <w:p>
      <w:pPr>
        <w:pStyle w:val="ListBullet"/>
        <w:spacing w:after="40"/>
      </w:pPr>
      <w:r>
        <w:rPr>
          <w:rFonts w:ascii="Times New Roman" w:hAnsi="Times New Roman"/>
          <w:sz w:val="24"/>
        </w:rPr>
        <w:t>Posting phase: transfer is posted to the originating account (state: POSTED).</w:t>
      </w:r>
    </w:p>
    <w:p>
      <w:pPr>
        <w:pStyle w:val="ListBullet"/>
        <w:spacing w:after="40"/>
      </w:pPr>
      <w:r>
        <w:rPr>
          <w:rFonts w:ascii="Times New Roman" w:hAnsi="Times New Roman"/>
          <w:sz w:val="24"/>
        </w:rPr>
        <w:t>Settlement phase: funds settle in the funding account (state: SETTLED).</w:t>
      </w:r>
    </w:p>
    <w:p>
      <w:pPr>
        <w:pStyle w:val="ListBullet"/>
        <w:spacing w:after="40"/>
      </w:pPr>
      <w:r>
        <w:rPr>
          <w:rFonts w:ascii="Times New Roman" w:hAnsi="Times New Roman"/>
          <w:sz w:val="24"/>
        </w:rPr>
        <w:t>Destination routing execution: the debt portion is routed to a repayment account; the Bitcoin portion is routed to a crypto purchase order.</w:t>
      </w:r>
    </w:p>
    <w:p>
      <w:pPr>
        <w:pStyle w:val="ListBullet"/>
        <w:spacing w:after="40"/>
      </w:pPr>
      <w:r>
        <w:rPr>
          <w:rFonts w:ascii="Times New Roman" w:hAnsi="Times New Roman"/>
          <w:sz w:val="24"/>
        </w:rPr>
        <w:t>Destination completion: debt payment progresses pending → posted → settled; Bitcoin order progresses placed → executed → credited.</w:t>
      </w:r>
    </w:p>
    <w:p>
      <w:pPr>
        <w:pStyle w:val="ListBullet"/>
        <w:spacing w:after="40"/>
      </w:pPr>
      <w:r>
        <w:rPr>
          <w:rFonts w:ascii="Times New Roman" w:hAnsi="Times New Roman"/>
          <w:sz w:val="24"/>
        </w:rPr>
        <w:t>Ledger reconciliation: final statuses, timestamps, and external IDs are recorded (state: RECONCILED).</w:t>
      </w:r>
    </w:p>
    <w:p>
      <w:pPr>
        <w:pStyle w:val="ListBullet"/>
        <w:spacing w:after="40"/>
      </w:pPr>
      <w:r>
        <w:rPr>
          <w:rFonts w:ascii="Times New Roman" w:hAnsi="Times New Roman"/>
          <w:sz w:val="24"/>
        </w:rPr>
        <w:t>Failure branch: if a failure occurs, the state transitions to FAILED, RETURNED, or CANCELED; retry logic may execute; the user may be notified; idempotency keys prevent duplication.</w:t>
      </w:r>
    </w:p>
    <w:p>
      <w:pPr>
        <w:pStyle w:val="ListBullet"/>
        <w:spacing w:after="40"/>
      </w:pPr>
      <w:r>
        <w:rPr>
          <w:rFonts w:ascii="Times New Roman" w:hAnsi="Times New Roman"/>
          <w:sz w:val="24"/>
        </w:rPr>
        <w:t>User dashboard update: the application displays updated debt reduction and asset accumulation totals.</w:t>
      </w:r>
    </w:p>
    <w:p>
      <w:pPr>
        <w:spacing w:before="280" w:after="120"/>
      </w:pPr>
      <w:r>
        <w:rPr>
          <w:rFonts w:ascii="Times New Roman" w:hAnsi="Times New Roman"/>
          <w:b/>
          <w:sz w:val="24"/>
        </w:rPr>
        <w:t>14. ADDITIONAL EMBODIMENTS</w:t>
      </w:r>
    </w:p>
    <w:p>
      <w:pPr>
        <w:spacing w:after="120"/>
        <w:ind w:firstLine="576"/>
        <w:jc w:val="both"/>
      </w:pPr>
      <w:r>
        <w:rPr>
          <w:rFonts w:ascii="Times New Roman" w:hAnsi="Times New Roman"/>
          <w:sz w:val="24"/>
        </w:rPr>
        <w:t>The system may further support:</w:t>
      </w:r>
    </w:p>
    <w:p>
      <w:pPr>
        <w:pStyle w:val="ListBullet"/>
        <w:spacing w:after="40"/>
      </w:pPr>
      <w:r>
        <w:rPr>
          <w:rFonts w:ascii="Times New Roman" w:hAnsi="Times New Roman"/>
          <w:sz w:val="24"/>
        </w:rPr>
        <w:t>Round-up multipliers (2×, 3×, 5×, 10×);</w:t>
      </w:r>
    </w:p>
    <w:p>
      <w:pPr>
        <w:pStyle w:val="ListBullet"/>
        <w:spacing w:after="40"/>
      </w:pPr>
      <w:r>
        <w:rPr>
          <w:rFonts w:ascii="Times New Roman" w:hAnsi="Times New Roman"/>
          <w:sz w:val="24"/>
        </w:rPr>
        <w:t>Time-based allocation rules (e.g., weekday/weekend variation);</w:t>
      </w:r>
    </w:p>
    <w:p>
      <w:pPr>
        <w:pStyle w:val="ListBullet"/>
        <w:spacing w:after="40"/>
      </w:pPr>
      <w:r>
        <w:rPr>
          <w:rFonts w:ascii="Times New Roman" w:hAnsi="Times New Roman"/>
          <w:sz w:val="24"/>
        </w:rPr>
        <w:t>Goal-based allocation adjustments tied to user-defined targets;</w:t>
      </w:r>
    </w:p>
    <w:p>
      <w:pPr>
        <w:pStyle w:val="ListBullet"/>
        <w:spacing w:after="40"/>
      </w:pPr>
      <w:r>
        <w:rPr>
          <w:rFonts w:ascii="Times New Roman" w:hAnsi="Times New Roman"/>
          <w:sz w:val="24"/>
        </w:rPr>
        <w:t>Aggregated pooled accounts for batched execution;</w:t>
      </w:r>
    </w:p>
    <w:p>
      <w:pPr>
        <w:pStyle w:val="ListBullet"/>
        <w:spacing w:after="40"/>
      </w:pPr>
      <w:r>
        <w:rPr>
          <w:rFonts w:ascii="Times New Roman" w:hAnsi="Times New Roman"/>
          <w:sz w:val="24"/>
        </w:rPr>
        <w:t>Subscription-based or transaction-fee monetization models.</w:t>
      </w:r>
    </w:p>
    <w:p>
      <w:pPr>
        <w:spacing w:before="280" w:after="120"/>
      </w:pPr>
      <w:r>
        <w:rPr>
          <w:rFonts w:ascii="Times New Roman" w:hAnsi="Times New Roman"/>
          <w:b/>
          <w:sz w:val="24"/>
        </w:rPr>
        <w:t>15. ERROR HANDLING</w:t>
      </w:r>
    </w:p>
    <w:p>
      <w:pPr>
        <w:spacing w:after="120"/>
        <w:ind w:firstLine="576"/>
        <w:jc w:val="both"/>
      </w:pPr>
      <w:r>
        <w:rPr>
          <w:rFonts w:ascii="Times New Roman" w:hAnsi="Times New Roman"/>
          <w:sz w:val="24"/>
        </w:rPr>
        <w:t>The system handles error conditions including:</w:t>
      </w:r>
    </w:p>
    <w:p>
      <w:pPr>
        <w:pStyle w:val="ListBullet"/>
        <w:spacing w:after="40"/>
      </w:pPr>
      <w:r>
        <w:rPr>
          <w:rFonts w:ascii="Times New Roman" w:hAnsi="Times New Roman"/>
          <w:sz w:val="24"/>
        </w:rPr>
        <w:t>Authorization failure;</w:t>
      </w:r>
    </w:p>
    <w:p>
      <w:pPr>
        <w:pStyle w:val="ListBullet"/>
        <w:spacing w:after="40"/>
      </w:pPr>
      <w:r>
        <w:rPr>
          <w:rFonts w:ascii="Times New Roman" w:hAnsi="Times New Roman"/>
          <w:sz w:val="24"/>
        </w:rPr>
        <w:t>Insufficient funds;</w:t>
      </w:r>
    </w:p>
    <w:p>
      <w:pPr>
        <w:pStyle w:val="ListBullet"/>
        <w:spacing w:after="40"/>
      </w:pPr>
      <w:r>
        <w:rPr>
          <w:rFonts w:ascii="Times New Roman" w:hAnsi="Times New Roman"/>
          <w:sz w:val="24"/>
        </w:rPr>
        <w:t>Network or third-party API errors;</w:t>
      </w:r>
    </w:p>
    <w:p>
      <w:pPr>
        <w:pStyle w:val="ListBullet"/>
        <w:spacing w:after="40"/>
      </w:pPr>
      <w:r>
        <w:rPr>
          <w:rFonts w:ascii="Times New Roman" w:hAnsi="Times New Roman"/>
          <w:sz w:val="24"/>
        </w:rPr>
        <w:t>Duplicate transactions.</w:t>
      </w:r>
    </w:p>
    <w:p>
      <w:pPr>
        <w:spacing w:after="120"/>
        <w:ind w:firstLine="576"/>
        <w:jc w:val="both"/>
      </w:pPr>
      <w:r>
        <w:rPr>
          <w:rFonts w:ascii="Times New Roman" w:hAnsi="Times New Roman"/>
          <w:sz w:val="24"/>
        </w:rPr>
        <w:t>Error responses may include:</w:t>
      </w:r>
    </w:p>
    <w:p>
      <w:pPr>
        <w:pStyle w:val="ListBullet"/>
        <w:spacing w:after="40"/>
      </w:pPr>
      <w:r>
        <w:rPr>
          <w:rFonts w:ascii="Times New Roman" w:hAnsi="Times New Roman"/>
          <w:sz w:val="24"/>
        </w:rPr>
        <w:t>Retry with exponential backoff;</w:t>
      </w:r>
    </w:p>
    <w:p>
      <w:pPr>
        <w:pStyle w:val="ListBullet"/>
        <w:spacing w:after="40"/>
      </w:pPr>
      <w:r>
        <w:rPr>
          <w:rFonts w:ascii="Times New Roman" w:hAnsi="Times New Roman"/>
          <w:sz w:val="24"/>
        </w:rPr>
        <w:t>Cancel transaction;</w:t>
      </w:r>
    </w:p>
    <w:p>
      <w:pPr>
        <w:pStyle w:val="ListBullet"/>
        <w:spacing w:after="40"/>
      </w:pPr>
      <w:r>
        <w:rPr>
          <w:rFonts w:ascii="Times New Roman" w:hAnsi="Times New Roman"/>
          <w:sz w:val="24"/>
        </w:rPr>
        <w:t>Notify user;</w:t>
      </w:r>
    </w:p>
    <w:p>
      <w:pPr>
        <w:pStyle w:val="ListBullet"/>
        <w:spacing w:after="40"/>
      </w:pPr>
      <w:r>
        <w:rPr>
          <w:rFonts w:ascii="Times New Roman" w:hAnsi="Times New Roman"/>
          <w:sz w:val="24"/>
        </w:rPr>
        <w:t>Log event for reconciliation review.</w:t>
      </w:r>
    </w:p>
    <w:p>
      <w:pPr>
        <w:spacing w:before="280" w:after="120"/>
      </w:pPr>
      <w:r>
        <w:rPr>
          <w:rFonts w:ascii="Times New Roman" w:hAnsi="Times New Roman"/>
          <w:b/>
          <w:sz w:val="24"/>
        </w:rPr>
        <w:t>16. RETURNED PAYMENTS</w:t>
      </w:r>
    </w:p>
    <w:p>
      <w:pPr>
        <w:spacing w:after="120"/>
        <w:ind w:firstLine="576"/>
        <w:jc w:val="both"/>
      </w:pPr>
      <w:r>
        <w:rPr>
          <w:rFonts w:ascii="Times New Roman" w:hAnsi="Times New Roman"/>
          <w:sz w:val="24"/>
        </w:rPr>
        <w:t>Returned payments are handled as follows:</w:t>
      </w:r>
    </w:p>
    <w:p>
      <w:pPr>
        <w:pStyle w:val="ListBullet"/>
        <w:spacing w:after="40"/>
      </w:pPr>
      <w:r>
        <w:rPr>
          <w:rFonts w:ascii="Times New Roman" w:hAnsi="Times New Roman"/>
          <w:sz w:val="24"/>
        </w:rPr>
        <w:t>Ledger state is set to RETURNED;</w:t>
      </w:r>
    </w:p>
    <w:p>
      <w:pPr>
        <w:pStyle w:val="ListBullet"/>
        <w:spacing w:after="40"/>
      </w:pPr>
      <w:r>
        <w:rPr>
          <w:rFonts w:ascii="Times New Roman" w:hAnsi="Times New Roman"/>
          <w:sz w:val="24"/>
        </w:rPr>
        <w:t>Funds are reversed in the source account;</w:t>
      </w:r>
    </w:p>
    <w:p>
      <w:pPr>
        <w:pStyle w:val="ListBullet"/>
        <w:spacing w:after="40"/>
      </w:pPr>
      <w:r>
        <w:rPr>
          <w:rFonts w:ascii="Times New Roman" w:hAnsi="Times New Roman"/>
          <w:sz w:val="24"/>
        </w:rPr>
        <w:t>User is notified through in-app messaging;</w:t>
      </w:r>
    </w:p>
    <w:p>
      <w:pPr>
        <w:pStyle w:val="ListBullet"/>
        <w:spacing w:after="40"/>
      </w:pPr>
      <w:r>
        <w:rPr>
          <w:rFonts w:ascii="Times New Roman" w:hAnsi="Times New Roman"/>
          <w:sz w:val="24"/>
        </w:rPr>
        <w:t>Subsequent transfers may be paused if a threshold of returns is exceeded.</w:t>
      </w:r>
    </w:p>
    <w:p>
      <w:pPr>
        <w:spacing w:before="280" w:after="120"/>
      </w:pPr>
      <w:r>
        <w:rPr>
          <w:rFonts w:ascii="Times New Roman" w:hAnsi="Times New Roman"/>
          <w:b/>
          <w:sz w:val="24"/>
        </w:rPr>
        <w:t>17. MULTI-CURRENCY SUPPORT</w:t>
      </w:r>
    </w:p>
    <w:p>
      <w:pPr>
        <w:spacing w:after="120"/>
        <w:ind w:firstLine="576"/>
        <w:jc w:val="both"/>
      </w:pPr>
      <w:r>
        <w:rPr>
          <w:rFonts w:ascii="Times New Roman" w:hAnsi="Times New Roman"/>
          <w:sz w:val="24"/>
        </w:rPr>
        <w:t>The system may:</w:t>
      </w:r>
    </w:p>
    <w:p>
      <w:pPr>
        <w:pStyle w:val="ListBullet"/>
        <w:spacing w:after="40"/>
      </w:pPr>
      <w:r>
        <w:rPr>
          <w:rFonts w:ascii="Times New Roman" w:hAnsi="Times New Roman"/>
          <w:sz w:val="24"/>
        </w:rPr>
        <w:t>Calculate round-ups in the user's local currency;</w:t>
      </w:r>
    </w:p>
    <w:p>
      <w:pPr>
        <w:pStyle w:val="ListBullet"/>
        <w:spacing w:after="40"/>
      </w:pPr>
      <w:r>
        <w:rPr>
          <w:rFonts w:ascii="Times New Roman" w:hAnsi="Times New Roman"/>
          <w:sz w:val="24"/>
        </w:rPr>
        <w:t>Convert currency when routing to destinations in another currency;</w:t>
      </w:r>
    </w:p>
    <w:p>
      <w:pPr>
        <w:pStyle w:val="ListBullet"/>
        <w:spacing w:after="40"/>
      </w:pPr>
      <w:r>
        <w:rPr>
          <w:rFonts w:ascii="Times New Roman" w:hAnsi="Times New Roman"/>
          <w:sz w:val="24"/>
        </w:rPr>
        <w:t>Use real-time or cached exchange rates;</w:t>
      </w:r>
    </w:p>
    <w:p>
      <w:pPr>
        <w:pStyle w:val="ListBullet"/>
        <w:spacing w:after="40"/>
      </w:pPr>
      <w:r>
        <w:rPr>
          <w:rFonts w:ascii="Times New Roman" w:hAnsi="Times New Roman"/>
          <w:sz w:val="24"/>
        </w:rPr>
        <w:t>Record both source and converted amounts in the ledger.</w:t>
      </w:r>
    </w:p>
    <w:p>
      <w:pPr>
        <w:spacing w:before="280" w:after="120"/>
      </w:pPr>
      <w:r>
        <w:rPr>
          <w:rFonts w:ascii="Times New Roman" w:hAnsi="Times New Roman"/>
          <w:b/>
          <w:sz w:val="24"/>
        </w:rPr>
        <w:t>18. INTERNATIONAL RAILS</w:t>
      </w:r>
    </w:p>
    <w:p>
      <w:pPr>
        <w:spacing w:after="120"/>
        <w:ind w:firstLine="576"/>
        <w:jc w:val="both"/>
      </w:pPr>
      <w:r>
        <w:rPr>
          <w:rFonts w:ascii="Times New Roman" w:hAnsi="Times New Roman"/>
          <w:sz w:val="24"/>
        </w:rPr>
        <w:t>Supported international payment rails may include:</w:t>
      </w:r>
    </w:p>
    <w:p>
      <w:pPr>
        <w:pStyle w:val="ListBullet"/>
        <w:spacing w:after="40"/>
      </w:pPr>
      <w:r>
        <w:rPr>
          <w:rFonts w:ascii="Times New Roman" w:hAnsi="Times New Roman"/>
          <w:sz w:val="24"/>
        </w:rPr>
        <w:t>SEPA (Single Euro Payments Area);</w:t>
      </w:r>
    </w:p>
    <w:p>
      <w:pPr>
        <w:pStyle w:val="ListBullet"/>
        <w:spacing w:after="40"/>
      </w:pPr>
      <w:r>
        <w:rPr>
          <w:rFonts w:ascii="Times New Roman" w:hAnsi="Times New Roman"/>
          <w:sz w:val="24"/>
        </w:rPr>
        <w:t>SWIFT;</w:t>
      </w:r>
    </w:p>
    <w:p>
      <w:pPr>
        <w:pStyle w:val="ListBullet"/>
        <w:spacing w:after="40"/>
      </w:pPr>
      <w:r>
        <w:rPr>
          <w:rFonts w:ascii="Times New Roman" w:hAnsi="Times New Roman"/>
          <w:sz w:val="24"/>
        </w:rPr>
        <w:t>Faster Payments Service (UK);</w:t>
      </w:r>
    </w:p>
    <w:p>
      <w:pPr>
        <w:pStyle w:val="ListBullet"/>
        <w:spacing w:after="40"/>
      </w:pPr>
      <w:r>
        <w:rPr>
          <w:rFonts w:ascii="Times New Roman" w:hAnsi="Times New Roman"/>
          <w:sz w:val="24"/>
        </w:rPr>
        <w:t>Open Banking APIs (PSD2 and equivalents).</w:t>
      </w:r>
    </w:p>
    <w:p>
      <w:pPr>
        <w:spacing w:after="120"/>
        <w:ind w:firstLine="576"/>
        <w:jc w:val="both"/>
      </w:pPr>
      <w:r>
        <w:rPr>
          <w:rFonts w:ascii="Times New Roman" w:hAnsi="Times New Roman"/>
          <w:sz w:val="24"/>
        </w:rPr>
        <w:t>Compliance considerations may include:</w:t>
      </w:r>
    </w:p>
    <w:p>
      <w:pPr>
        <w:pStyle w:val="ListBullet"/>
        <w:spacing w:after="40"/>
      </w:pPr>
      <w:r>
        <w:rPr>
          <w:rFonts w:ascii="Times New Roman" w:hAnsi="Times New Roman"/>
          <w:sz w:val="24"/>
        </w:rPr>
        <w:t>Know Your Customer (KYC) verification;</w:t>
      </w:r>
    </w:p>
    <w:p>
      <w:pPr>
        <w:pStyle w:val="ListBullet"/>
        <w:spacing w:after="40"/>
      </w:pPr>
      <w:r>
        <w:rPr>
          <w:rFonts w:ascii="Times New Roman" w:hAnsi="Times New Roman"/>
          <w:sz w:val="24"/>
        </w:rPr>
        <w:t>Anti-Money Laundering (AML) screening;</w:t>
      </w:r>
    </w:p>
    <w:p>
      <w:pPr>
        <w:pStyle w:val="ListBullet"/>
        <w:spacing w:after="40"/>
      </w:pPr>
      <w:r>
        <w:rPr>
          <w:rFonts w:ascii="Times New Roman" w:hAnsi="Times New Roman"/>
          <w:sz w:val="24"/>
        </w:rPr>
        <w:t>Region-specific financial regulations.</w:t>
      </w:r>
    </w:p>
    <w:p>
      <w:pPr>
        <w:spacing w:before="280" w:after="120"/>
      </w:pPr>
      <w:r>
        <w:rPr>
          <w:rFonts w:ascii="Times New Roman" w:hAnsi="Times New Roman"/>
          <w:b/>
          <w:sz w:val="24"/>
        </w:rPr>
        <w:t>19. FUTURE EXTENSIONS</w:t>
      </w:r>
    </w:p>
    <w:p>
      <w:pPr>
        <w:spacing w:after="120"/>
        <w:ind w:firstLine="576"/>
        <w:jc w:val="both"/>
      </w:pPr>
      <w:r>
        <w:rPr>
          <w:rFonts w:ascii="Times New Roman" w:hAnsi="Times New Roman"/>
          <w:sz w:val="24"/>
        </w:rPr>
        <w:t>The system architecture supports future extensions, including:</w:t>
      </w:r>
    </w:p>
    <w:p>
      <w:pPr>
        <w:pStyle w:val="ListBullet"/>
        <w:spacing w:after="40"/>
      </w:pPr>
      <w:r>
        <w:rPr>
          <w:rFonts w:ascii="Times New Roman" w:hAnsi="Times New Roman"/>
          <w:sz w:val="24"/>
        </w:rPr>
        <w:t>AI-driven allocation optimization;</w:t>
      </w:r>
    </w:p>
    <w:p>
      <w:pPr>
        <w:pStyle w:val="ListBullet"/>
        <w:spacing w:after="40"/>
      </w:pPr>
      <w:r>
        <w:rPr>
          <w:rFonts w:ascii="Times New Roman" w:hAnsi="Times New Roman"/>
          <w:sz w:val="24"/>
        </w:rPr>
        <w:t>Yield-generating destinations (e.g., interest-bearing accounts, staking);</w:t>
      </w:r>
    </w:p>
    <w:p>
      <w:pPr>
        <w:pStyle w:val="ListBullet"/>
        <w:spacing w:after="40"/>
      </w:pPr>
      <w:r>
        <w:rPr>
          <w:rFonts w:ascii="Times New Roman" w:hAnsi="Times New Roman"/>
          <w:sz w:val="24"/>
        </w:rPr>
        <w:t>Refinancing tools and integrated lending;</w:t>
      </w:r>
    </w:p>
    <w:p>
      <w:pPr>
        <w:pStyle w:val="ListBullet"/>
        <w:spacing w:after="40"/>
      </w:pPr>
      <w:r>
        <w:rPr>
          <w:rFonts w:ascii="Times New Roman" w:hAnsi="Times New Roman"/>
          <w:sz w:val="24"/>
        </w:rPr>
        <w:t>Credit score optimization;</w:t>
      </w:r>
    </w:p>
    <w:p>
      <w:pPr>
        <w:pStyle w:val="ListBullet"/>
        <w:spacing w:after="40"/>
      </w:pPr>
      <w:r>
        <w:rPr>
          <w:rFonts w:ascii="Times New Roman" w:hAnsi="Times New Roman"/>
          <w:sz w:val="24"/>
        </w:rPr>
        <w:t>API licensing of the allocation engine to third-party fintech applications.</w:t>
      </w:r>
    </w:p>
    <w:p>
      <w:r>
        <w:br w:type="page"/>
      </w:r>
    </w:p>
    <w:p>
      <w:pPr>
        <w:spacing w:before="240" w:after="120"/>
        <w:jc w:val="center"/>
      </w:pPr>
      <w:r>
        <w:rPr>
          <w:rFonts w:ascii="Times New Roman" w:hAnsi="Times New Roman"/>
          <w:b/>
          <w:sz w:val="32"/>
        </w:rPr>
        <w:t>CLAIMS</w:t>
      </w:r>
    </w:p>
    <w:p>
      <w:pPr>
        <w:spacing w:after="120"/>
        <w:jc w:val="both"/>
      </w:pPr>
      <w:r>
        <w:rPr>
          <w:rFonts w:ascii="Times New Roman" w:hAnsi="Times New Roman"/>
          <w:sz w:val="24"/>
        </w:rPr>
        <w:t>What is claimed is:</w:t>
      </w:r>
    </w:p>
    <w:p>
      <w:pPr>
        <w:spacing w:after="120"/>
        <w:ind w:left="432" w:hanging="432"/>
        <w:jc w:val="both"/>
      </w:pPr>
      <w:r>
        <w:rPr>
          <w:rFonts w:ascii="Times New Roman" w:hAnsi="Times New Roman"/>
          <w:sz w:val="24"/>
        </w:rPr>
        <w:t>1. A computer-implemented method comprising: receiving transaction data associated with a user financial account; calculating, by one or more processors, a round-up amount based on a difference between a transaction amount and a higher currency increment; retrieving an allocation vector associated with the user; dividing the round-up amount into at least two allocation portions according to the allocation vector; routing a first allocation portion to a debt repayment destination; routing a second allocation portion to a digital asset acquisition destination; and recording status data associated with the first allocation portion and the second allocation portion in a reconciliation ledger.</w:t>
      </w:r>
    </w:p>
    <w:p>
      <w:pPr>
        <w:spacing w:after="120"/>
        <w:ind w:left="432" w:hanging="432"/>
        <w:jc w:val="both"/>
      </w:pPr>
      <w:r>
        <w:rPr>
          <w:rFonts w:ascii="Times New Roman" w:hAnsi="Times New Roman"/>
          <w:sz w:val="24"/>
        </w:rPr>
        <w:t>2. The method of claim 1, wherein the allocation vector comprises a first percentage assigned to debt repayment and a second percentage assigned to digital asset acquisition.</w:t>
      </w:r>
    </w:p>
    <w:p>
      <w:pPr>
        <w:spacing w:after="120"/>
        <w:ind w:left="432" w:hanging="432"/>
        <w:jc w:val="both"/>
      </w:pPr>
      <w:r>
        <w:rPr>
          <w:rFonts w:ascii="Times New Roman" w:hAnsi="Times New Roman"/>
          <w:sz w:val="24"/>
        </w:rPr>
        <w:t>3. The method of claim 2, wherein the first percentage and the second percentage are user-adjustable across a continuous range from 0 percent to 100 percent.</w:t>
      </w:r>
    </w:p>
    <w:p>
      <w:pPr>
        <w:spacing w:after="120"/>
        <w:ind w:left="432" w:hanging="432"/>
        <w:jc w:val="both"/>
      </w:pPr>
      <w:r>
        <w:rPr>
          <w:rFonts w:ascii="Times New Roman" w:hAnsi="Times New Roman"/>
          <w:sz w:val="24"/>
        </w:rPr>
        <w:t>4. The method of claim 1, wherein the digital asset acquisition destination comprises a cryptocurrency exchange account.</w:t>
      </w:r>
    </w:p>
    <w:p>
      <w:pPr>
        <w:spacing w:after="120"/>
        <w:ind w:left="432" w:hanging="432"/>
        <w:jc w:val="both"/>
      </w:pPr>
      <w:r>
        <w:rPr>
          <w:rFonts w:ascii="Times New Roman" w:hAnsi="Times New Roman"/>
          <w:sz w:val="24"/>
        </w:rPr>
        <w:t>5. The method of claim 1, wherein the digital asset comprises Bitcoin.</w:t>
      </w:r>
    </w:p>
    <w:p>
      <w:pPr>
        <w:spacing w:after="120"/>
        <w:ind w:left="432" w:hanging="432"/>
        <w:jc w:val="both"/>
      </w:pPr>
      <w:r>
        <w:rPr>
          <w:rFonts w:ascii="Times New Roman" w:hAnsi="Times New Roman"/>
          <w:sz w:val="24"/>
        </w:rPr>
        <w:t>6. The method of claim 1, further comprising generating an idempotency key associated with the transaction data and the allocation vector.</w:t>
      </w:r>
    </w:p>
    <w:p>
      <w:pPr>
        <w:spacing w:after="120"/>
        <w:ind w:left="432" w:hanging="432"/>
        <w:jc w:val="both"/>
      </w:pPr>
      <w:r>
        <w:rPr>
          <w:rFonts w:ascii="Times New Roman" w:hAnsi="Times New Roman"/>
          <w:sz w:val="24"/>
        </w:rPr>
        <w:t>7. The method of claim 1, further comprising aggregating multiple round-up amounts before initiating a transfer.</w:t>
      </w:r>
    </w:p>
    <w:p>
      <w:pPr>
        <w:spacing w:after="120"/>
        <w:ind w:left="432" w:hanging="432"/>
        <w:jc w:val="both"/>
      </w:pPr>
      <w:r>
        <w:rPr>
          <w:rFonts w:ascii="Times New Roman" w:hAnsi="Times New Roman"/>
          <w:sz w:val="24"/>
        </w:rPr>
        <w:t>8. The method of claim 1, wherein the allocation vector includes more than two financial destinations.</w:t>
      </w:r>
    </w:p>
    <w:p>
      <w:pPr>
        <w:spacing w:after="120"/>
        <w:ind w:left="432" w:hanging="432"/>
        <w:jc w:val="both"/>
      </w:pPr>
      <w:r>
        <w:rPr>
          <w:rFonts w:ascii="Times New Roman" w:hAnsi="Times New Roman"/>
          <w:sz w:val="24"/>
        </w:rPr>
        <w:t>9. The method of claim 8, wherein the financial destinations include at least one of a credit card account, loan account, savings account, investment account, brokerage account, cryptocurrency account, or charitable account.</w:t>
      </w:r>
    </w:p>
    <w:p>
      <w:pPr>
        <w:spacing w:after="120"/>
        <w:ind w:left="432" w:hanging="432"/>
        <w:jc w:val="both"/>
      </w:pPr>
      <w:r>
        <w:rPr>
          <w:rFonts w:ascii="Times New Roman" w:hAnsi="Times New Roman"/>
          <w:sz w:val="24"/>
        </w:rPr>
        <w:t>10. The method of claim 1, further comprising dynamically adjusting the allocation vector based on debt balance, interest rate, market conditions, spending behavior, user cash flow, or user risk preference.</w:t>
      </w:r>
    </w:p>
    <w:p>
      <w:pPr>
        <w:spacing w:after="120"/>
        <w:ind w:left="432" w:hanging="432"/>
        <w:jc w:val="both"/>
      </w:pPr>
      <w:r>
        <w:rPr>
          <w:rFonts w:ascii="Times New Roman" w:hAnsi="Times New Roman"/>
          <w:sz w:val="24"/>
        </w:rPr>
        <w:t>11. A system comprising: one or more processors; a memory storing instructions that, when executed, cause the one or more processors to: receive user transaction data; calculate a round-up amount; apply an allocation vector to the round-up amount; generate destination-specific allocation records; initiate transfer execution for each allocation record; and update a reconciliation ledger.</w:t>
      </w:r>
    </w:p>
    <w:p>
      <w:pPr>
        <w:spacing w:after="120"/>
        <w:ind w:left="432" w:hanging="432"/>
        <w:jc w:val="both"/>
      </w:pPr>
      <w:r>
        <w:rPr>
          <w:rFonts w:ascii="Times New Roman" w:hAnsi="Times New Roman"/>
          <w:sz w:val="24"/>
        </w:rPr>
        <w:t>12. The system of claim 11, wherein the allocation vector is adjustable through a graphical user interface slider.</w:t>
      </w:r>
    </w:p>
    <w:p>
      <w:pPr>
        <w:spacing w:after="120"/>
        <w:ind w:left="432" w:hanging="432"/>
        <w:jc w:val="both"/>
      </w:pPr>
      <w:r>
        <w:rPr>
          <w:rFonts w:ascii="Times New Roman" w:hAnsi="Times New Roman"/>
          <w:sz w:val="24"/>
        </w:rPr>
        <w:t>13. The system of claim 11, wherein a first destination is a debt repayment account and a second destination is a digital asset acquisition account.</w:t>
      </w:r>
    </w:p>
    <w:p>
      <w:pPr>
        <w:spacing w:after="120"/>
        <w:ind w:left="432" w:hanging="432"/>
        <w:jc w:val="both"/>
      </w:pPr>
      <w:r>
        <w:rPr>
          <w:rFonts w:ascii="Times New Roman" w:hAnsi="Times New Roman"/>
          <w:sz w:val="24"/>
        </w:rPr>
        <w:t>14. The system of claim 11, wherein the system prevents duplicate transfer execution using idempotency keys.</w:t>
      </w:r>
    </w:p>
    <w:p>
      <w:pPr>
        <w:spacing w:after="120"/>
        <w:ind w:left="432" w:hanging="432"/>
        <w:jc w:val="both"/>
      </w:pPr>
      <w:r>
        <w:rPr>
          <w:rFonts w:ascii="Times New Roman" w:hAnsi="Times New Roman"/>
          <w:sz w:val="24"/>
        </w:rPr>
        <w:t>15. The system of claim 11, wherein the reconciliation ledger tracks states comprising created, authorized, pending, posted, settled, failed, returned, canceled, or reconciled.</w:t>
      </w:r>
    </w:p>
    <w:p>
      <w:pPr>
        <w:spacing w:after="120"/>
        <w:ind w:left="432" w:hanging="432"/>
        <w:jc w:val="both"/>
      </w:pPr>
      <w:r>
        <w:rPr>
          <w:rFonts w:ascii="Times New Roman" w:hAnsi="Times New Roman"/>
          <w:sz w:val="24"/>
        </w:rPr>
        <w:t>16. A non-transitory computer-readable medium storing instructions that, when executed by one or more processors, cause the one or more processors to: receive transaction data; calculate a transaction round-up; split the transaction round-up according to an allocation vector; route a first split portion to a liability reduction destination; route a second split portion to an asset acquisition destination; and record execution status in a ledger.</w:t>
      </w:r>
    </w:p>
    <w:p>
      <w:pPr>
        <w:spacing w:after="120"/>
        <w:ind w:left="432" w:hanging="432"/>
        <w:jc w:val="both"/>
      </w:pPr>
      <w:r>
        <w:rPr>
          <w:rFonts w:ascii="Times New Roman" w:hAnsi="Times New Roman"/>
          <w:sz w:val="24"/>
        </w:rPr>
        <w:t>17. The non-transitory computer-readable medium of claim 16, wherein the asset acquisition destination is a cryptocurrency purchase destination.</w:t>
      </w:r>
    </w:p>
    <w:p>
      <w:pPr>
        <w:spacing w:after="120"/>
        <w:ind w:left="432" w:hanging="432"/>
        <w:jc w:val="both"/>
      </w:pPr>
      <w:r>
        <w:rPr>
          <w:rFonts w:ascii="Times New Roman" w:hAnsi="Times New Roman"/>
          <w:sz w:val="24"/>
        </w:rPr>
        <w:t>18. The non-transitory computer-readable medium of claim 16, wherein the allocation vector supports any ratio from 100/0 through 0/100.</w:t>
      </w:r>
    </w:p>
    <w:p>
      <w:pPr>
        <w:spacing w:after="120"/>
        <w:ind w:left="432" w:hanging="432"/>
        <w:jc w:val="both"/>
      </w:pPr>
      <w:r>
        <w:rPr>
          <w:rFonts w:ascii="Times New Roman" w:hAnsi="Times New Roman"/>
          <w:sz w:val="24"/>
        </w:rPr>
        <w:t>19. The non-transitory computer-readable medium of claim 16, wherein the allocation vector supports an N-dimensional financial destination model.</w:t>
      </w:r>
    </w:p>
    <w:p>
      <w:pPr>
        <w:spacing w:after="120"/>
        <w:ind w:left="432" w:hanging="432"/>
        <w:jc w:val="both"/>
      </w:pPr>
      <w:r>
        <w:rPr>
          <w:rFonts w:ascii="Times New Roman" w:hAnsi="Times New Roman"/>
          <w:sz w:val="24"/>
        </w:rPr>
        <w:t>20. The non-transitory computer-readable medium of claim 16, wherein transfer execution is paused based on a user account balance threshold.</w:t>
      </w:r>
    </w:p>
    <w:p>
      <w:r>
        <w:br w:type="page"/>
      </w:r>
    </w:p>
    <w:p>
      <w:pPr>
        <w:spacing w:before="240" w:after="120"/>
        <w:jc w:val="center"/>
      </w:pPr>
      <w:r>
        <w:rPr>
          <w:rFonts w:ascii="Times New Roman" w:hAnsi="Times New Roman"/>
          <w:b/>
          <w:sz w:val="32"/>
        </w:rPr>
        <w:t>ABSTRACT</w:t>
      </w:r>
    </w:p>
    <w:p>
      <w:pPr>
        <w:spacing w:after="120"/>
        <w:jc w:val="both"/>
      </w:pPr>
      <w:r>
        <w:rPr>
          <w:rFonts w:ascii="Times New Roman" w:hAnsi="Times New Roman"/>
          <w:sz w:val="24"/>
        </w:rPr>
        <w:t>A computerized financial microallocation system receives transaction data from a user-linked financial account, calculates transaction round-up amounts, applies a user-defined or dynamically adjusted allocation vector, and routes portions of the round-up amounts to multiple financial destinations. In one embodiment, a first allocation portion is routed to a debt repayment destination and a second allocation portion is routed to a digital asset acquisition destination, such as Bitcoin. The system may support continuous allocation ratios across a full 0 percent to 100 percent range and may extend to N financial destinations. The system includes transaction ingestion, round-up calculation, allocation vector processing, destination routing, transfer execution orchestration, idempotency controls, and reconciliation ledger tracking.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