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773" w:rsidRPr="00FE78B8" w:rsidRDefault="00307773" w:rsidP="0046476C">
      <w:pPr>
        <w:spacing w:line="240" w:lineRule="auto"/>
        <w:jc w:val="center"/>
        <w:rPr>
          <w:rFonts w:cstheme="minorHAnsi"/>
          <w:sz w:val="36"/>
          <w:szCs w:val="36"/>
        </w:rPr>
      </w:pPr>
      <w:r w:rsidRPr="00FE78B8">
        <w:rPr>
          <w:rFonts w:cstheme="minorHAnsi"/>
          <w:sz w:val="36"/>
          <w:szCs w:val="36"/>
        </w:rPr>
        <w:t xml:space="preserve">Ministerul Educaţiei, al Culturii </w:t>
      </w:r>
      <w:r w:rsidRPr="00FE78B8">
        <w:rPr>
          <w:rFonts w:cstheme="minorHAnsi"/>
          <w:sz w:val="36"/>
          <w:szCs w:val="36"/>
          <w:lang w:val="ro-RO"/>
        </w:rPr>
        <w:t>și Cercetării</w:t>
      </w:r>
      <w:r w:rsidRPr="00FE78B8">
        <w:rPr>
          <w:rFonts w:cstheme="minorHAnsi"/>
          <w:sz w:val="36"/>
          <w:szCs w:val="36"/>
        </w:rPr>
        <w:t xml:space="preserve"> al Republicii Moldova</w:t>
      </w:r>
    </w:p>
    <w:p w:rsidR="00307773" w:rsidRPr="00FE78B8" w:rsidRDefault="00307773" w:rsidP="0046476C">
      <w:pPr>
        <w:spacing w:line="240" w:lineRule="auto"/>
        <w:jc w:val="center"/>
        <w:rPr>
          <w:rFonts w:cstheme="minorHAnsi"/>
          <w:sz w:val="36"/>
          <w:szCs w:val="36"/>
        </w:rPr>
      </w:pPr>
      <w:r w:rsidRPr="00FE78B8">
        <w:rPr>
          <w:rFonts w:cstheme="minorHAnsi"/>
          <w:sz w:val="36"/>
          <w:szCs w:val="36"/>
        </w:rPr>
        <w:t>Universitatea Tehnică a Moldovei</w:t>
      </w:r>
    </w:p>
    <w:p w:rsidR="00307773" w:rsidRPr="00FE78B8" w:rsidRDefault="00307773" w:rsidP="0046476C">
      <w:pPr>
        <w:spacing w:line="240" w:lineRule="auto"/>
        <w:jc w:val="center"/>
        <w:rPr>
          <w:rFonts w:cstheme="minorHAnsi"/>
          <w:sz w:val="36"/>
          <w:szCs w:val="36"/>
        </w:rPr>
      </w:pPr>
      <w:r w:rsidRPr="00FE78B8">
        <w:rPr>
          <w:rFonts w:cstheme="minorHAnsi"/>
          <w:sz w:val="36"/>
          <w:szCs w:val="36"/>
        </w:rPr>
        <w:t>Departamentul Informatică și Ingineria Sistemelor</w:t>
      </w:r>
    </w:p>
    <w:p w:rsidR="00307773" w:rsidRPr="00FE78B8" w:rsidRDefault="00307773" w:rsidP="0046476C">
      <w:pPr>
        <w:spacing w:line="240" w:lineRule="auto"/>
        <w:jc w:val="center"/>
        <w:rPr>
          <w:rFonts w:cstheme="minorHAnsi"/>
          <w:sz w:val="40"/>
          <w:szCs w:val="40"/>
        </w:rPr>
      </w:pPr>
    </w:p>
    <w:p w:rsidR="00307773" w:rsidRPr="00FE78B8" w:rsidRDefault="00307773" w:rsidP="0046476C">
      <w:pPr>
        <w:spacing w:line="240" w:lineRule="auto"/>
        <w:jc w:val="center"/>
        <w:rPr>
          <w:rFonts w:cstheme="minorHAnsi"/>
          <w:sz w:val="40"/>
          <w:szCs w:val="40"/>
        </w:rPr>
      </w:pPr>
    </w:p>
    <w:p w:rsidR="0046476C" w:rsidRPr="00FE78B8" w:rsidRDefault="00307773" w:rsidP="00D926FC">
      <w:pPr>
        <w:spacing w:line="240" w:lineRule="auto"/>
        <w:jc w:val="center"/>
        <w:rPr>
          <w:rFonts w:cstheme="minorHAnsi"/>
          <w:b/>
          <w:bCs/>
          <w:sz w:val="96"/>
          <w:szCs w:val="96"/>
        </w:rPr>
      </w:pPr>
      <w:r w:rsidRPr="00FE78B8">
        <w:rPr>
          <w:rFonts w:cstheme="minorHAnsi"/>
          <w:b/>
          <w:bCs/>
          <w:sz w:val="96"/>
          <w:szCs w:val="96"/>
        </w:rPr>
        <w:t>RAPORT</w:t>
      </w:r>
    </w:p>
    <w:p w:rsidR="00D926FC" w:rsidRPr="00FE78B8" w:rsidRDefault="00D926FC" w:rsidP="0046476C">
      <w:pPr>
        <w:spacing w:line="240" w:lineRule="auto"/>
        <w:jc w:val="center"/>
        <w:rPr>
          <w:rFonts w:cstheme="minorHAnsi"/>
          <w:sz w:val="36"/>
          <w:szCs w:val="36"/>
          <w:lang w:val="ro-RO"/>
        </w:rPr>
      </w:pPr>
    </w:p>
    <w:p w:rsidR="00D926FC" w:rsidRPr="00FE78B8" w:rsidRDefault="00D926FC" w:rsidP="0046476C">
      <w:pPr>
        <w:spacing w:line="240" w:lineRule="auto"/>
        <w:jc w:val="center"/>
        <w:rPr>
          <w:rFonts w:cstheme="minorHAnsi"/>
          <w:sz w:val="36"/>
          <w:szCs w:val="36"/>
          <w:lang w:val="ro-RO"/>
        </w:rPr>
      </w:pPr>
    </w:p>
    <w:p w:rsidR="00307773" w:rsidRPr="00FE78B8" w:rsidRDefault="00AD7DE0" w:rsidP="0046476C">
      <w:pPr>
        <w:spacing w:line="240" w:lineRule="auto"/>
        <w:jc w:val="center"/>
        <w:rPr>
          <w:rFonts w:cstheme="minorHAnsi"/>
          <w:sz w:val="36"/>
          <w:szCs w:val="36"/>
          <w:lang w:val="ro-RO"/>
        </w:rPr>
      </w:pPr>
      <w:r>
        <w:rPr>
          <w:rFonts w:cstheme="minorHAnsi"/>
          <w:sz w:val="36"/>
          <w:szCs w:val="36"/>
          <w:lang w:val="ro-RO"/>
        </w:rPr>
        <w:t>Lucrarea de laborator nr.4</w:t>
      </w:r>
    </w:p>
    <w:p w:rsidR="00307773" w:rsidRPr="00FE78B8" w:rsidRDefault="00A56EB9" w:rsidP="0046476C">
      <w:pPr>
        <w:spacing w:line="240" w:lineRule="auto"/>
        <w:jc w:val="center"/>
        <w:rPr>
          <w:rFonts w:cstheme="minorHAnsi"/>
          <w:sz w:val="36"/>
          <w:szCs w:val="36"/>
          <w:lang w:val="ro-RO"/>
        </w:rPr>
      </w:pPr>
      <w:r>
        <w:rPr>
          <w:rFonts w:cstheme="minorHAnsi"/>
          <w:sz w:val="36"/>
          <w:szCs w:val="36"/>
          <w:lang w:val="ro-RO"/>
        </w:rPr>
        <w:t>TTGE</w:t>
      </w:r>
    </w:p>
    <w:p w:rsidR="00307773" w:rsidRPr="00FE78B8" w:rsidRDefault="00307773" w:rsidP="0046476C">
      <w:pPr>
        <w:spacing w:line="240" w:lineRule="auto"/>
        <w:rPr>
          <w:rFonts w:cstheme="minorHAnsi"/>
          <w:sz w:val="36"/>
          <w:szCs w:val="36"/>
          <w:lang w:val="ro-RO"/>
        </w:rPr>
      </w:pPr>
    </w:p>
    <w:p w:rsidR="00307773" w:rsidRPr="00FE78B8" w:rsidRDefault="00307773" w:rsidP="0046476C">
      <w:pPr>
        <w:spacing w:line="240" w:lineRule="auto"/>
        <w:rPr>
          <w:rFonts w:cstheme="minorHAnsi"/>
          <w:sz w:val="36"/>
          <w:szCs w:val="36"/>
          <w:lang w:val="ro-RO"/>
        </w:rPr>
      </w:pPr>
    </w:p>
    <w:p w:rsidR="00307773" w:rsidRPr="00FE78B8" w:rsidRDefault="00307773" w:rsidP="0046476C">
      <w:pPr>
        <w:spacing w:line="240" w:lineRule="auto"/>
        <w:rPr>
          <w:rFonts w:cstheme="minorHAnsi"/>
          <w:sz w:val="36"/>
          <w:szCs w:val="36"/>
          <w:lang w:val="ro-RO"/>
        </w:rPr>
      </w:pPr>
    </w:p>
    <w:p w:rsidR="00307773" w:rsidRPr="00FE78B8" w:rsidRDefault="00307773" w:rsidP="0046476C">
      <w:pPr>
        <w:spacing w:line="240" w:lineRule="auto"/>
        <w:rPr>
          <w:rFonts w:cstheme="minorHAnsi"/>
          <w:sz w:val="36"/>
          <w:szCs w:val="36"/>
          <w:lang w:val="ro-RO"/>
        </w:rPr>
      </w:pPr>
      <w:r w:rsidRPr="00FE78B8">
        <w:rPr>
          <w:rFonts w:cstheme="minorHAnsi"/>
          <w:sz w:val="36"/>
          <w:szCs w:val="36"/>
          <w:lang w:val="ro-RO"/>
        </w:rPr>
        <w:t>A efectuat:</w:t>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p>
    <w:p w:rsidR="00307773" w:rsidRPr="00FE78B8" w:rsidRDefault="00307773" w:rsidP="0046476C">
      <w:pPr>
        <w:spacing w:line="240" w:lineRule="auto"/>
        <w:rPr>
          <w:rFonts w:cstheme="minorHAnsi"/>
          <w:sz w:val="36"/>
          <w:szCs w:val="36"/>
          <w:lang w:val="ro-RO"/>
        </w:rPr>
      </w:pPr>
      <w:r w:rsidRPr="00FE78B8">
        <w:rPr>
          <w:rFonts w:cstheme="minorHAnsi"/>
          <w:sz w:val="36"/>
          <w:szCs w:val="36"/>
          <w:lang w:val="ro-RO"/>
        </w:rPr>
        <w:t>st. gr. C-171</w:t>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00D81E64" w:rsidRPr="00FE78B8">
        <w:rPr>
          <w:rFonts w:cstheme="minorHAnsi"/>
          <w:sz w:val="36"/>
          <w:szCs w:val="36"/>
          <w:lang w:val="ro-RO"/>
        </w:rPr>
        <w:t xml:space="preserve"> </w:t>
      </w:r>
      <w:r w:rsidRPr="00FE78B8">
        <w:rPr>
          <w:rFonts w:cstheme="minorHAnsi"/>
          <w:sz w:val="36"/>
          <w:szCs w:val="36"/>
          <w:lang w:val="ro-RO"/>
        </w:rPr>
        <w:t>D. Melniciuc</w:t>
      </w:r>
    </w:p>
    <w:p w:rsidR="00164573" w:rsidRPr="00FE78B8" w:rsidRDefault="00307773" w:rsidP="0046476C">
      <w:pPr>
        <w:spacing w:line="240" w:lineRule="auto"/>
        <w:rPr>
          <w:rFonts w:cstheme="minorHAnsi"/>
          <w:sz w:val="36"/>
          <w:szCs w:val="36"/>
          <w:lang w:val="ro-RO"/>
        </w:rPr>
      </w:pPr>
      <w:r w:rsidRPr="00FE78B8">
        <w:rPr>
          <w:rFonts w:cstheme="minorHAnsi"/>
          <w:sz w:val="36"/>
          <w:szCs w:val="36"/>
          <w:lang w:val="ro-RO"/>
        </w:rPr>
        <w:t>A verificat:</w:t>
      </w:r>
      <w:r w:rsidRPr="00FE78B8">
        <w:rPr>
          <w:rFonts w:cstheme="minorHAnsi"/>
          <w:sz w:val="36"/>
          <w:szCs w:val="36"/>
          <w:lang w:val="ro-RO"/>
        </w:rPr>
        <w:tab/>
        <w:t xml:space="preserve">                                         </w:t>
      </w:r>
      <w:r w:rsidRPr="00FE78B8">
        <w:rPr>
          <w:rFonts w:cstheme="minorHAnsi"/>
          <w:sz w:val="36"/>
          <w:szCs w:val="36"/>
          <w:lang w:val="ro-RO"/>
        </w:rPr>
        <w:tab/>
      </w:r>
    </w:p>
    <w:p w:rsidR="00307773" w:rsidRPr="00FE78B8" w:rsidRDefault="00164573" w:rsidP="0046476C">
      <w:pPr>
        <w:spacing w:line="240" w:lineRule="auto"/>
        <w:rPr>
          <w:rFonts w:cstheme="minorHAnsi"/>
          <w:sz w:val="36"/>
          <w:szCs w:val="36"/>
          <w:lang w:val="fr-FR"/>
        </w:rPr>
      </w:pPr>
      <w:r w:rsidRPr="00FE78B8">
        <w:rPr>
          <w:rFonts w:cstheme="minorHAnsi"/>
          <w:sz w:val="36"/>
          <w:szCs w:val="36"/>
          <w:lang w:val="ro-RO"/>
        </w:rPr>
        <w:t>dr., conf.univ.</w:t>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Pr="00FE78B8">
        <w:rPr>
          <w:rFonts w:cstheme="minorHAnsi"/>
          <w:sz w:val="36"/>
          <w:szCs w:val="36"/>
          <w:lang w:val="ro-RO"/>
        </w:rPr>
        <w:tab/>
      </w:r>
      <w:r w:rsidR="006B63DC">
        <w:rPr>
          <w:rFonts w:cstheme="minorHAnsi"/>
          <w:sz w:val="36"/>
          <w:szCs w:val="36"/>
          <w:lang w:val="ro-RO"/>
        </w:rPr>
        <w:tab/>
      </w:r>
      <w:r w:rsidR="006B63DC">
        <w:rPr>
          <w:rFonts w:cstheme="minorHAnsi"/>
          <w:sz w:val="36"/>
          <w:szCs w:val="36"/>
          <w:lang w:val="ro-RO"/>
        </w:rPr>
        <w:tab/>
      </w:r>
      <w:r w:rsidR="006B63DC">
        <w:rPr>
          <w:rFonts w:cstheme="minorHAnsi"/>
          <w:sz w:val="36"/>
          <w:szCs w:val="36"/>
          <w:lang w:val="ro-RO"/>
        </w:rPr>
        <w:tab/>
        <w:t xml:space="preserve">          </w:t>
      </w:r>
      <w:r w:rsidR="006B63DC" w:rsidRPr="006B63DC">
        <w:rPr>
          <w:sz w:val="36"/>
          <w:szCs w:val="36"/>
        </w:rPr>
        <w:t>O.Godonoga</w:t>
      </w:r>
    </w:p>
    <w:p w:rsidR="00307773" w:rsidRPr="00FE78B8" w:rsidRDefault="00307773" w:rsidP="0046476C">
      <w:pPr>
        <w:spacing w:line="240" w:lineRule="auto"/>
        <w:rPr>
          <w:rFonts w:cstheme="minorHAnsi"/>
          <w:sz w:val="36"/>
          <w:szCs w:val="36"/>
          <w:lang w:val="fr-FR"/>
        </w:rPr>
      </w:pPr>
    </w:p>
    <w:p w:rsidR="00FE78B8" w:rsidRDefault="00307773" w:rsidP="00D141DB">
      <w:pPr>
        <w:spacing w:line="240" w:lineRule="auto"/>
        <w:jc w:val="center"/>
        <w:rPr>
          <w:rFonts w:cstheme="minorHAnsi"/>
          <w:sz w:val="28"/>
          <w:szCs w:val="28"/>
        </w:rPr>
      </w:pPr>
      <w:r w:rsidRPr="00FE78B8">
        <w:rPr>
          <w:rFonts w:cstheme="minorHAnsi"/>
          <w:sz w:val="36"/>
          <w:szCs w:val="36"/>
          <w:lang w:val="fr-FR"/>
        </w:rPr>
        <w:t>Chişinău  2020</w:t>
      </w:r>
    </w:p>
    <w:p w:rsidR="00424F92" w:rsidRDefault="00424F92" w:rsidP="00B36929">
      <w:pPr>
        <w:spacing w:line="240" w:lineRule="auto"/>
        <w:rPr>
          <w:rFonts w:cstheme="minorHAnsi"/>
        </w:rPr>
      </w:pPr>
    </w:p>
    <w:p w:rsidR="00236F95" w:rsidRDefault="00FB2D9D" w:rsidP="003C7363">
      <w:pPr>
        <w:jc w:val="both"/>
        <w:rPr>
          <w:rFonts w:cstheme="minorHAnsi"/>
        </w:rPr>
      </w:pPr>
      <w:r>
        <w:rPr>
          <w:rFonts w:cstheme="minorHAnsi"/>
        </w:rPr>
        <w:lastRenderedPageBreak/>
        <w:t xml:space="preserve">Un centru de date </w:t>
      </w:r>
      <w:r w:rsidR="003C7363" w:rsidRPr="003C7363">
        <w:rPr>
          <w:rFonts w:cstheme="minorHAnsi"/>
        </w:rPr>
        <w:t xml:space="preserve">este </w:t>
      </w:r>
      <w:r w:rsidR="000F2489">
        <w:rPr>
          <w:rFonts w:cstheme="minorHAnsi"/>
        </w:rPr>
        <w:t xml:space="preserve">o clădire, spațiu dedicat în una sau mai multe clădiri </w:t>
      </w:r>
      <w:r w:rsidR="00EC647F">
        <w:rPr>
          <w:rFonts w:cstheme="minorHAnsi"/>
        </w:rPr>
        <w:t>ce se utilizeaza</w:t>
      </w:r>
      <w:r w:rsidR="003C7363" w:rsidRPr="003C7363">
        <w:rPr>
          <w:rFonts w:cstheme="minorHAnsi"/>
        </w:rPr>
        <w:t xml:space="preserve"> pentru adăpostirea sistemelor de calcul și a componentelor </w:t>
      </w:r>
      <w:proofErr w:type="gramStart"/>
      <w:r w:rsidR="003C7363" w:rsidRPr="003C7363">
        <w:rPr>
          <w:rFonts w:cstheme="minorHAnsi"/>
        </w:rPr>
        <w:t>asociate ,</w:t>
      </w:r>
      <w:proofErr w:type="gramEnd"/>
      <w:r w:rsidR="003C7363" w:rsidRPr="003C7363">
        <w:rPr>
          <w:rFonts w:cstheme="minorHAnsi"/>
        </w:rPr>
        <w:t xml:space="preserve"> cum ar fi sistemele de tel</w:t>
      </w:r>
      <w:r w:rsidR="007D5A2E">
        <w:rPr>
          <w:rFonts w:cstheme="minorHAnsi"/>
        </w:rPr>
        <w:t xml:space="preserve">ecomunicații și stocare datelor. </w:t>
      </w:r>
      <w:r w:rsidR="003C7363" w:rsidRPr="003C7363">
        <w:rPr>
          <w:rFonts w:cstheme="minorHAnsi"/>
        </w:rPr>
        <w:t xml:space="preserve">Deoarece operațiunile IT sunt cruciale pentru continuitatea activității, </w:t>
      </w:r>
      <w:r w:rsidR="001A2C2F">
        <w:rPr>
          <w:rFonts w:cstheme="minorHAnsi"/>
        </w:rPr>
        <w:t>centrele de date</w:t>
      </w:r>
      <w:r w:rsidR="003C7363" w:rsidRPr="003C7363">
        <w:rPr>
          <w:rFonts w:cstheme="minorHAnsi"/>
        </w:rPr>
        <w:t xml:space="preserve"> includ în general componente și infrastructură redundante sau de rezervă și infrastructură pentru alimentarea cu energie electrică, conexiuni de comunicații de date, controale de mediu (de exemplu, aer condiționat, suprimarea incendiilor) și diverse dispozitive de securitate. </w:t>
      </w:r>
      <w:proofErr w:type="gramStart"/>
      <w:r w:rsidR="003C7363" w:rsidRPr="003C7363">
        <w:rPr>
          <w:rFonts w:cstheme="minorHAnsi"/>
        </w:rPr>
        <w:t>Un</w:t>
      </w:r>
      <w:proofErr w:type="gramEnd"/>
      <w:r w:rsidR="003C7363" w:rsidRPr="003C7363">
        <w:rPr>
          <w:rFonts w:cstheme="minorHAnsi"/>
        </w:rPr>
        <w:t xml:space="preserve"> centru de date mare este o operațiune la scară industrială care folosește la fel de multă energie e</w:t>
      </w:r>
      <w:r w:rsidR="00414DE0">
        <w:rPr>
          <w:rFonts w:cstheme="minorHAnsi"/>
        </w:rPr>
        <w:t>lectrică ca un oraș mic.</w:t>
      </w:r>
    </w:p>
    <w:p w:rsidR="00FE3573" w:rsidRDefault="00FE3573" w:rsidP="00F25C3E">
      <w:pPr>
        <w:jc w:val="both"/>
        <w:rPr>
          <w:rFonts w:cstheme="minorHAnsi"/>
        </w:rPr>
      </w:pPr>
    </w:p>
    <w:p w:rsidR="00F25C3E" w:rsidRPr="00F25C3E" w:rsidRDefault="00F25C3E" w:rsidP="00F25C3E">
      <w:pPr>
        <w:jc w:val="both"/>
        <w:rPr>
          <w:rFonts w:cstheme="minorHAnsi"/>
        </w:rPr>
      </w:pPr>
      <w:r w:rsidRPr="00F25C3E">
        <w:rPr>
          <w:rFonts w:cstheme="minorHAnsi"/>
        </w:rPr>
        <w:t xml:space="preserve">Securitatea informațiilor </w:t>
      </w:r>
      <w:proofErr w:type="gramStart"/>
      <w:r w:rsidRPr="00F25C3E">
        <w:rPr>
          <w:rFonts w:cstheme="minorHAnsi"/>
        </w:rPr>
        <w:t>este</w:t>
      </w:r>
      <w:proofErr w:type="gramEnd"/>
      <w:r w:rsidR="00DD41C6">
        <w:rPr>
          <w:rFonts w:cstheme="minorHAnsi"/>
        </w:rPr>
        <w:t xml:space="preserve"> ceva ce trebuie sa sa luam in consderatie</w:t>
      </w:r>
      <w:r w:rsidRPr="00F25C3E">
        <w:rPr>
          <w:rFonts w:cstheme="minorHAnsi"/>
        </w:rPr>
        <w:t xml:space="preserve">, din acest motiv, un centru de date trebuie să ofere un mediu sigur care să minimizeze șansele unei </w:t>
      </w:r>
      <w:r w:rsidR="00E05CD7">
        <w:rPr>
          <w:rFonts w:cstheme="minorHAnsi"/>
        </w:rPr>
        <w:t>branse de securitate</w:t>
      </w:r>
      <w:r w:rsidRPr="00F25C3E">
        <w:rPr>
          <w:rFonts w:cstheme="minorHAnsi"/>
        </w:rPr>
        <w:t xml:space="preserve">. Prin urmare, </w:t>
      </w:r>
      <w:proofErr w:type="gramStart"/>
      <w:r w:rsidRPr="00F25C3E">
        <w:rPr>
          <w:rFonts w:cstheme="minorHAnsi"/>
        </w:rPr>
        <w:t>un</w:t>
      </w:r>
      <w:proofErr w:type="gramEnd"/>
      <w:r w:rsidRPr="00F25C3E">
        <w:rPr>
          <w:rFonts w:cstheme="minorHAnsi"/>
        </w:rPr>
        <w:t xml:space="preserve"> centru de date trebuie să păstreze standarde ridicate pentru a asigura integritatea și funcționalitatea med</w:t>
      </w:r>
      <w:r w:rsidR="00E92DC4">
        <w:rPr>
          <w:rFonts w:cstheme="minorHAnsi"/>
        </w:rPr>
        <w:t xml:space="preserve">iului său de </w:t>
      </w:r>
      <w:r w:rsidR="00D44B92">
        <w:rPr>
          <w:rFonts w:cstheme="minorHAnsi"/>
        </w:rPr>
        <w:t>găzda</w:t>
      </w:r>
      <w:r w:rsidR="00E92DC4">
        <w:rPr>
          <w:rFonts w:cstheme="minorHAnsi"/>
        </w:rPr>
        <w:t>.</w:t>
      </w:r>
    </w:p>
    <w:p w:rsidR="00F25C3E" w:rsidRPr="00F25C3E" w:rsidRDefault="00F25C3E" w:rsidP="00F25C3E">
      <w:pPr>
        <w:jc w:val="both"/>
        <w:rPr>
          <w:rFonts w:cstheme="minorHAnsi"/>
        </w:rPr>
      </w:pPr>
      <w:r w:rsidRPr="00F25C3E">
        <w:rPr>
          <w:rFonts w:cstheme="minorHAnsi"/>
        </w:rPr>
        <w:t>Compania de cercetare industrială</w:t>
      </w:r>
      <w:r w:rsidR="008506BE">
        <w:rPr>
          <w:rFonts w:cstheme="minorHAnsi"/>
        </w:rPr>
        <w:t>,</w:t>
      </w:r>
      <w:r w:rsidRPr="00F25C3E">
        <w:rPr>
          <w:rFonts w:cstheme="minorHAnsi"/>
        </w:rPr>
        <w:t xml:space="preserve"> International Data Corporation (IDC) stabilește vârsta medie a un</w:t>
      </w:r>
      <w:r w:rsidR="003B4CC4">
        <w:rPr>
          <w:rFonts w:cstheme="minorHAnsi"/>
        </w:rPr>
        <w:t xml:space="preserve">ui centru de date la nouă ani. </w:t>
      </w:r>
      <w:r w:rsidRPr="00F25C3E">
        <w:rPr>
          <w:rFonts w:cstheme="minorHAnsi"/>
        </w:rPr>
        <w:t xml:space="preserve">Gartner, o </w:t>
      </w:r>
      <w:proofErr w:type="gramStart"/>
      <w:r w:rsidRPr="00F25C3E">
        <w:rPr>
          <w:rFonts w:cstheme="minorHAnsi"/>
        </w:rPr>
        <w:t>altă</w:t>
      </w:r>
      <w:proofErr w:type="gramEnd"/>
      <w:r w:rsidRPr="00F25C3E">
        <w:rPr>
          <w:rFonts w:cstheme="minorHAnsi"/>
        </w:rPr>
        <w:t xml:space="preserve"> companie de cercetare, spune că centrele de date mai vechi de șapte ani sunt</w:t>
      </w:r>
      <w:r w:rsidR="003B4CC4">
        <w:rPr>
          <w:rFonts w:cstheme="minorHAnsi"/>
        </w:rPr>
        <w:t xml:space="preserve"> învechite.</w:t>
      </w:r>
      <w:r w:rsidRPr="00F25C3E">
        <w:rPr>
          <w:rFonts w:cstheme="minorHAnsi"/>
        </w:rPr>
        <w:t xml:space="preserve"> Creșterea datelor </w:t>
      </w:r>
      <w:r w:rsidR="003B4CC4">
        <w:rPr>
          <w:rFonts w:cstheme="minorHAnsi"/>
        </w:rPr>
        <w:t>(163 zetabytes până în 2025</w:t>
      </w:r>
      <w:r w:rsidRPr="00F25C3E">
        <w:rPr>
          <w:rFonts w:cstheme="minorHAnsi"/>
        </w:rPr>
        <w:t xml:space="preserve">) </w:t>
      </w:r>
      <w:proofErr w:type="gramStart"/>
      <w:r w:rsidRPr="00F25C3E">
        <w:rPr>
          <w:rFonts w:cstheme="minorHAnsi"/>
        </w:rPr>
        <w:t>este</w:t>
      </w:r>
      <w:proofErr w:type="gramEnd"/>
      <w:r w:rsidRPr="00F25C3E">
        <w:rPr>
          <w:rFonts w:cstheme="minorHAnsi"/>
        </w:rPr>
        <w:t xml:space="preserve"> un factor care determină necesitatea modernizării centrelor de date.</w:t>
      </w:r>
    </w:p>
    <w:p w:rsidR="00F25C3E" w:rsidRDefault="008506BE" w:rsidP="00F25C3E">
      <w:pPr>
        <w:jc w:val="both"/>
        <w:rPr>
          <w:rFonts w:cstheme="minorHAnsi"/>
        </w:rPr>
      </w:pPr>
      <w:r>
        <w:rPr>
          <w:rFonts w:cstheme="minorHAnsi"/>
        </w:rPr>
        <w:t>Accentuarea modernizarii</w:t>
      </w:r>
      <w:r w:rsidR="00F25C3E" w:rsidRPr="00F25C3E">
        <w:rPr>
          <w:rFonts w:cstheme="minorHAnsi"/>
        </w:rPr>
        <w:t xml:space="preserve"> nu </w:t>
      </w:r>
      <w:proofErr w:type="gramStart"/>
      <w:r w:rsidR="00F25C3E" w:rsidRPr="00F25C3E">
        <w:rPr>
          <w:rFonts w:cstheme="minorHAnsi"/>
        </w:rPr>
        <w:t>este</w:t>
      </w:r>
      <w:proofErr w:type="gramEnd"/>
      <w:r w:rsidR="00F25C3E" w:rsidRPr="00F25C3E">
        <w:rPr>
          <w:rFonts w:cstheme="minorHAnsi"/>
        </w:rPr>
        <w:t xml:space="preserve"> </w:t>
      </w:r>
      <w:r w:rsidR="00034450">
        <w:rPr>
          <w:rFonts w:cstheme="minorHAnsi"/>
        </w:rPr>
        <w:t>ceva nou,</w:t>
      </w:r>
      <w:r w:rsidR="00F25C3E" w:rsidRPr="00F25C3E">
        <w:rPr>
          <w:rFonts w:cstheme="minorHAnsi"/>
        </w:rPr>
        <w:t xml:space="preserve"> îngrijorarea cu privire la echipamentele învechite a fost criticată în</w:t>
      </w:r>
      <w:r>
        <w:rPr>
          <w:rFonts w:cstheme="minorHAnsi"/>
        </w:rPr>
        <w:t xml:space="preserve"> 2007</w:t>
      </w:r>
      <w:r w:rsidR="00F25C3E" w:rsidRPr="00F25C3E">
        <w:rPr>
          <w:rFonts w:cstheme="minorHAnsi"/>
        </w:rPr>
        <w:t xml:space="preserve">, </w:t>
      </w:r>
      <w:r w:rsidR="00304DEF">
        <w:rPr>
          <w:rFonts w:cstheme="minorHAnsi"/>
        </w:rPr>
        <w:t>p</w:t>
      </w:r>
      <w:r w:rsidR="00F25C3E" w:rsidRPr="00F25C3E">
        <w:rPr>
          <w:rFonts w:cstheme="minorHAnsi"/>
        </w:rPr>
        <w:t xml:space="preserve">ână în 2018, preocuparea s-a mutat din nou, vârsta personalului: „personalul centrului de date îmbătrânește mai </w:t>
      </w:r>
      <w:r w:rsidR="003B4CC4">
        <w:rPr>
          <w:rFonts w:cstheme="minorHAnsi"/>
        </w:rPr>
        <w:t xml:space="preserve">repede decât echipamentul.” </w:t>
      </w:r>
    </w:p>
    <w:p w:rsidR="00070E93" w:rsidRDefault="00070E93" w:rsidP="00F25C3E">
      <w:pPr>
        <w:jc w:val="both"/>
        <w:rPr>
          <w:rFonts w:cstheme="minorHAnsi"/>
        </w:rPr>
      </w:pPr>
    </w:p>
    <w:p w:rsidR="00070E93" w:rsidRPr="00070E93" w:rsidRDefault="00070E93" w:rsidP="00070E93">
      <w:pPr>
        <w:jc w:val="both"/>
        <w:rPr>
          <w:rFonts w:cstheme="minorHAnsi"/>
        </w:rPr>
      </w:pPr>
      <w:r w:rsidRPr="00070E93">
        <w:rPr>
          <w:rFonts w:cstheme="minorHAnsi"/>
        </w:rPr>
        <w:t>Telecommunications Industry Association's Telecommunications Infrastructure Standard for Data Centers</w:t>
      </w:r>
      <w:r>
        <w:rPr>
          <w:rFonts w:cstheme="minorHAnsi"/>
        </w:rPr>
        <w:t xml:space="preserve"> </w:t>
      </w:r>
      <w:r w:rsidRPr="00070E93">
        <w:rPr>
          <w:rFonts w:cstheme="minorHAnsi"/>
        </w:rPr>
        <w:t xml:space="preserve">specifică cerințele minime pentru infrastructura de telecomunicații a centrelor de date și </w:t>
      </w:r>
      <w:r w:rsidR="000B05DC">
        <w:rPr>
          <w:rFonts w:cstheme="minorHAnsi"/>
        </w:rPr>
        <w:t>camerilor</w:t>
      </w:r>
      <w:r w:rsidRPr="00070E93">
        <w:rPr>
          <w:rFonts w:cstheme="minorHAnsi"/>
        </w:rPr>
        <w:t xml:space="preserve"> de calculatoare, inclusiv centrele de date pentru întreprinderi cu un singur chiriaș și centrele de date pentru găzduirea internetului cu mai mulți chiriași. Topologia propusă în acest document este menită să fie aplicabilă oricărui ce</w:t>
      </w:r>
      <w:r w:rsidR="009A7E2A">
        <w:rPr>
          <w:rFonts w:cstheme="minorHAnsi"/>
        </w:rPr>
        <w:t xml:space="preserve">ntru de date de orice dimensiuni. </w:t>
      </w:r>
    </w:p>
    <w:p w:rsidR="00D12B62" w:rsidRDefault="00B10391" w:rsidP="00070E93">
      <w:pPr>
        <w:jc w:val="both"/>
        <w:rPr>
          <w:rFonts w:cstheme="minorHAnsi"/>
        </w:rPr>
      </w:pPr>
      <w:r>
        <w:rPr>
          <w:rFonts w:cstheme="minorHAnsi"/>
        </w:rPr>
        <w:t>Telcordia GR-3160 si</w:t>
      </w:r>
      <w:r w:rsidR="002A50B5">
        <w:rPr>
          <w:rFonts w:cstheme="minorHAnsi"/>
        </w:rPr>
        <w:t xml:space="preserve"> c</w:t>
      </w:r>
      <w:r w:rsidR="00070E93" w:rsidRPr="00070E93">
        <w:rPr>
          <w:rFonts w:cstheme="minorHAnsi"/>
        </w:rPr>
        <w:t>erințe</w:t>
      </w:r>
      <w:r>
        <w:rPr>
          <w:rFonts w:cstheme="minorHAnsi"/>
        </w:rPr>
        <w:t>le</w:t>
      </w:r>
      <w:r w:rsidR="00B42268">
        <w:rPr>
          <w:rFonts w:cstheme="minorHAnsi"/>
        </w:rPr>
        <w:t xml:space="preserve"> NEBS pentru echipamentul și spațiul</w:t>
      </w:r>
      <w:r w:rsidR="00070E93" w:rsidRPr="00070E93">
        <w:rPr>
          <w:rFonts w:cstheme="minorHAnsi"/>
        </w:rPr>
        <w:t xml:space="preserve"> pentru centre </w:t>
      </w:r>
      <w:r w:rsidR="008131A0">
        <w:rPr>
          <w:rFonts w:cstheme="minorHAnsi"/>
        </w:rPr>
        <w:t>de date de telecomunicații</w:t>
      </w:r>
      <w:proofErr w:type="gramStart"/>
      <w:r w:rsidR="008131A0">
        <w:rPr>
          <w:rFonts w:cstheme="minorHAnsi"/>
        </w:rPr>
        <w:t xml:space="preserve">, </w:t>
      </w:r>
      <w:r w:rsidR="00070E93" w:rsidRPr="00070E93">
        <w:rPr>
          <w:rFonts w:cstheme="minorHAnsi"/>
        </w:rPr>
        <w:t xml:space="preserve"> oferă</w:t>
      </w:r>
      <w:proofErr w:type="gramEnd"/>
      <w:r w:rsidR="00070E93" w:rsidRPr="00070E93">
        <w:rPr>
          <w:rFonts w:cstheme="minorHAnsi"/>
        </w:rPr>
        <w:t xml:space="preserve"> instrucțiuni pentru spațiile centrelor de date din rețelele de telecomunicații și cerințe de mediu pentru echipamentele destinate instalării în aceste spații. Aceste criterii au fost dezvoltate în comun de către Telcordia și reprezentanții industriei. Acestea pot fi aplicate spațiilor centrelor de date care adăpostesc echipamente de procesare a datelor </w:t>
      </w:r>
      <w:r w:rsidR="00D12B62">
        <w:rPr>
          <w:rFonts w:cstheme="minorHAnsi"/>
        </w:rPr>
        <w:t>sau tehnologiei informaț</w:t>
      </w:r>
      <w:proofErr w:type="gramStart"/>
      <w:r w:rsidR="00D12B62">
        <w:rPr>
          <w:rFonts w:cstheme="minorHAnsi"/>
        </w:rPr>
        <w:t xml:space="preserve">iei </w:t>
      </w:r>
      <w:r w:rsidR="00070E93" w:rsidRPr="00070E93">
        <w:rPr>
          <w:rFonts w:cstheme="minorHAnsi"/>
        </w:rPr>
        <w:t>.</w:t>
      </w:r>
      <w:proofErr w:type="gramEnd"/>
      <w:r w:rsidR="00070E93" w:rsidRPr="00070E93">
        <w:rPr>
          <w:rFonts w:cstheme="minorHAnsi"/>
        </w:rPr>
        <w:t xml:space="preserve"> </w:t>
      </w:r>
    </w:p>
    <w:p w:rsidR="00070E93" w:rsidRPr="004064D9" w:rsidRDefault="00070E93" w:rsidP="00070E93">
      <w:pPr>
        <w:jc w:val="both"/>
        <w:rPr>
          <w:rFonts w:cstheme="minorHAnsi"/>
          <w:b/>
        </w:rPr>
      </w:pPr>
      <w:r w:rsidRPr="004064D9">
        <w:rPr>
          <w:rFonts w:cstheme="minorHAnsi"/>
          <w:b/>
        </w:rPr>
        <w:t>Echipamentul poate fi folosit pentru:</w:t>
      </w:r>
    </w:p>
    <w:p w:rsidR="00070E93" w:rsidRPr="00070E93" w:rsidRDefault="00D12B62" w:rsidP="00070E93">
      <w:pPr>
        <w:jc w:val="both"/>
        <w:rPr>
          <w:rFonts w:cstheme="minorHAnsi"/>
        </w:rPr>
      </w:pPr>
      <w:r>
        <w:rPr>
          <w:rFonts w:cstheme="minorHAnsi"/>
        </w:rPr>
        <w:t xml:space="preserve">- </w:t>
      </w:r>
      <w:r w:rsidR="00070E93" w:rsidRPr="00070E93">
        <w:rPr>
          <w:rFonts w:cstheme="minorHAnsi"/>
        </w:rPr>
        <w:t>Operați și gestionați rețeaua de telecomunicații a unui operator de transport</w:t>
      </w:r>
    </w:p>
    <w:p w:rsidR="00070E93" w:rsidRPr="00070E93" w:rsidRDefault="00D12B62" w:rsidP="00070E93">
      <w:pPr>
        <w:jc w:val="both"/>
        <w:rPr>
          <w:rFonts w:cstheme="minorHAnsi"/>
        </w:rPr>
      </w:pPr>
      <w:r>
        <w:rPr>
          <w:rFonts w:cstheme="minorHAnsi"/>
        </w:rPr>
        <w:t xml:space="preserve">- </w:t>
      </w:r>
      <w:r w:rsidR="00070E93" w:rsidRPr="00070E93">
        <w:rPr>
          <w:rFonts w:cstheme="minorHAnsi"/>
        </w:rPr>
        <w:t>Furnizați aplicații bazate pe centru de date direct clienților operatorului</w:t>
      </w:r>
    </w:p>
    <w:p w:rsidR="00070E93" w:rsidRPr="00070E93" w:rsidRDefault="00D12B62" w:rsidP="00070E93">
      <w:pPr>
        <w:jc w:val="both"/>
        <w:rPr>
          <w:rFonts w:cstheme="minorHAnsi"/>
        </w:rPr>
      </w:pPr>
      <w:r>
        <w:rPr>
          <w:rFonts w:cstheme="minorHAnsi"/>
        </w:rPr>
        <w:t xml:space="preserve">- </w:t>
      </w:r>
      <w:r w:rsidR="00070E93" w:rsidRPr="00070E93">
        <w:rPr>
          <w:rFonts w:cstheme="minorHAnsi"/>
        </w:rPr>
        <w:t xml:space="preserve">Furnizați aplicații găzduite pentru o terță parte pentru </w:t>
      </w:r>
      <w:proofErr w:type="gramStart"/>
      <w:r w:rsidR="00070E93" w:rsidRPr="00070E93">
        <w:rPr>
          <w:rFonts w:cstheme="minorHAnsi"/>
        </w:rPr>
        <w:t>a</w:t>
      </w:r>
      <w:proofErr w:type="gramEnd"/>
      <w:r w:rsidR="00070E93" w:rsidRPr="00070E93">
        <w:rPr>
          <w:rFonts w:cstheme="minorHAnsi"/>
        </w:rPr>
        <w:t xml:space="preserve"> oferi servicii clienților lor</w:t>
      </w:r>
    </w:p>
    <w:p w:rsidR="00070E93" w:rsidRDefault="00D12B62" w:rsidP="00070E93">
      <w:pPr>
        <w:jc w:val="both"/>
        <w:rPr>
          <w:rFonts w:cstheme="minorHAnsi"/>
        </w:rPr>
      </w:pPr>
      <w:r>
        <w:rPr>
          <w:rFonts w:cstheme="minorHAnsi"/>
        </w:rPr>
        <w:t xml:space="preserve">- </w:t>
      </w:r>
      <w:r w:rsidR="00070E93" w:rsidRPr="00070E93">
        <w:rPr>
          <w:rFonts w:cstheme="minorHAnsi"/>
        </w:rPr>
        <w:t xml:space="preserve">Furnizați o combinație </w:t>
      </w:r>
      <w:proofErr w:type="gramStart"/>
      <w:r w:rsidR="00070E93" w:rsidRPr="00070E93">
        <w:rPr>
          <w:rFonts w:cstheme="minorHAnsi"/>
        </w:rPr>
        <w:t>a</w:t>
      </w:r>
      <w:proofErr w:type="gramEnd"/>
      <w:r w:rsidR="00070E93" w:rsidRPr="00070E93">
        <w:rPr>
          <w:rFonts w:cstheme="minorHAnsi"/>
        </w:rPr>
        <w:t xml:space="preserve"> acestor aplicații și a unor aplicații similare pentru centrele de date</w:t>
      </w:r>
    </w:p>
    <w:p w:rsidR="003F4B39" w:rsidRDefault="003F4B39" w:rsidP="00070E93">
      <w:pPr>
        <w:jc w:val="both"/>
        <w:rPr>
          <w:rFonts w:cstheme="minorHAnsi"/>
        </w:rPr>
      </w:pPr>
    </w:p>
    <w:p w:rsidR="003F4B39" w:rsidRDefault="003F4B39" w:rsidP="00070E93">
      <w:pPr>
        <w:jc w:val="both"/>
        <w:rPr>
          <w:rFonts w:cstheme="minorHAnsi"/>
        </w:rPr>
      </w:pPr>
    </w:p>
    <w:p w:rsidR="001B366B" w:rsidRPr="002A50EA" w:rsidRDefault="00924B84" w:rsidP="001B366B">
      <w:pPr>
        <w:tabs>
          <w:tab w:val="left" w:pos="2945"/>
        </w:tabs>
        <w:jc w:val="both"/>
        <w:rPr>
          <w:rFonts w:cstheme="minorHAnsi"/>
          <w:b/>
          <w:sz w:val="28"/>
          <w:szCs w:val="28"/>
          <w:u w:val="single"/>
        </w:rPr>
      </w:pPr>
      <w:r w:rsidRPr="002A50EA">
        <w:rPr>
          <w:rFonts w:cstheme="minorHAnsi"/>
          <w:b/>
          <w:sz w:val="28"/>
          <w:szCs w:val="28"/>
          <w:u w:val="single"/>
        </w:rPr>
        <w:lastRenderedPageBreak/>
        <w:t>Nivelurile</w:t>
      </w:r>
      <w:r w:rsidR="003F4B39" w:rsidRPr="002A50EA">
        <w:rPr>
          <w:rFonts w:cstheme="minorHAnsi"/>
          <w:b/>
          <w:sz w:val="28"/>
          <w:szCs w:val="28"/>
          <w:u w:val="single"/>
        </w:rPr>
        <w:t xml:space="preserve"> centrelor de date</w:t>
      </w:r>
      <w:r w:rsidR="001B366B" w:rsidRPr="002A50EA">
        <w:rPr>
          <w:rFonts w:cstheme="minorHAnsi"/>
          <w:b/>
          <w:sz w:val="28"/>
          <w:szCs w:val="28"/>
          <w:u w:val="single"/>
        </w:rPr>
        <w:t xml:space="preserve">: </w:t>
      </w:r>
    </w:p>
    <w:p w:rsidR="003F4B39" w:rsidRPr="003F4B39" w:rsidRDefault="003F4B39" w:rsidP="001B366B">
      <w:pPr>
        <w:tabs>
          <w:tab w:val="left" w:pos="2945"/>
        </w:tabs>
        <w:jc w:val="both"/>
        <w:rPr>
          <w:rFonts w:cstheme="minorHAnsi"/>
        </w:rPr>
      </w:pPr>
      <w:r w:rsidRPr="003F4B39">
        <w:rPr>
          <w:rFonts w:cstheme="minorHAnsi"/>
        </w:rPr>
        <w:t>Telecommunications Industry Associ</w:t>
      </w:r>
      <w:r w:rsidR="001B366B">
        <w:rPr>
          <w:rFonts w:cstheme="minorHAnsi"/>
        </w:rPr>
        <w:t xml:space="preserve">ation (TIA) și Uptime Institute </w:t>
      </w:r>
      <w:r w:rsidR="001B366B" w:rsidRPr="003F4B39">
        <w:rPr>
          <w:rFonts w:cstheme="minorHAnsi"/>
        </w:rPr>
        <w:t>sunt</w:t>
      </w:r>
      <w:r w:rsidR="001B366B">
        <w:rPr>
          <w:rFonts w:cstheme="minorHAnsi"/>
        </w:rPr>
        <w:t xml:space="preserve"> c</w:t>
      </w:r>
      <w:r w:rsidR="001B366B" w:rsidRPr="003F4B39">
        <w:rPr>
          <w:rFonts w:cstheme="minorHAnsi"/>
        </w:rPr>
        <w:t>ele două organizații care publică standardele centrelor de dat</w:t>
      </w:r>
      <w:r w:rsidR="00BA398D">
        <w:rPr>
          <w:rFonts w:cstheme="minorHAnsi"/>
        </w:rPr>
        <w:t>e</w:t>
      </w:r>
      <w:r w:rsidR="001B366B">
        <w:rPr>
          <w:rFonts w:cstheme="minorHAnsi"/>
        </w:rPr>
        <w:t>.</w:t>
      </w:r>
    </w:p>
    <w:p w:rsidR="003F4B39" w:rsidRPr="003F4B39" w:rsidRDefault="003F4B39" w:rsidP="003F4B39">
      <w:pPr>
        <w:jc w:val="both"/>
        <w:rPr>
          <w:rFonts w:cstheme="minorHAnsi"/>
        </w:rPr>
      </w:pPr>
    </w:p>
    <w:p w:rsidR="003F4B39" w:rsidRPr="00B0433E" w:rsidRDefault="00007D01" w:rsidP="003F4B39">
      <w:pPr>
        <w:jc w:val="both"/>
        <w:rPr>
          <w:rFonts w:cstheme="minorHAnsi"/>
          <w:b/>
        </w:rPr>
      </w:pPr>
      <w:r w:rsidRPr="00B0433E">
        <w:rPr>
          <w:rFonts w:cstheme="minorHAnsi"/>
          <w:b/>
        </w:rPr>
        <w:t>Standul</w:t>
      </w:r>
      <w:r w:rsidR="003F4B39" w:rsidRPr="00B0433E">
        <w:rPr>
          <w:rFonts w:cstheme="minorHAnsi"/>
          <w:b/>
        </w:rPr>
        <w:t xml:space="preserve"> EN50600 și ISO22237 - Facilități și infrastructuri ale centrelor de date</w:t>
      </w:r>
    </w:p>
    <w:p w:rsidR="003F4B39" w:rsidRPr="00350A1E" w:rsidRDefault="00005E35" w:rsidP="00350A1E">
      <w:pPr>
        <w:pStyle w:val="ListParagraph"/>
        <w:numPr>
          <w:ilvl w:val="0"/>
          <w:numId w:val="8"/>
        </w:numPr>
        <w:jc w:val="both"/>
        <w:rPr>
          <w:rFonts w:cstheme="minorHAnsi"/>
        </w:rPr>
      </w:pPr>
      <w:r w:rsidRPr="00FA5028">
        <w:rPr>
          <w:rFonts w:cstheme="minorHAnsi"/>
          <w:i/>
        </w:rPr>
        <w:t>C</w:t>
      </w:r>
      <w:r w:rsidRPr="00FA5028">
        <w:rPr>
          <w:rFonts w:cstheme="minorHAnsi"/>
          <w:i/>
        </w:rPr>
        <w:t>lasa 1</w:t>
      </w:r>
      <w:r w:rsidR="006F24F1">
        <w:rPr>
          <w:rFonts w:cstheme="minorHAnsi"/>
        </w:rPr>
        <w:t>:</w:t>
      </w:r>
      <w:r>
        <w:rPr>
          <w:rFonts w:cstheme="minorHAnsi"/>
        </w:rPr>
        <w:t xml:space="preserve"> </w:t>
      </w:r>
      <w:r w:rsidR="00C80C19">
        <w:rPr>
          <w:rFonts w:cstheme="minorHAnsi"/>
        </w:rPr>
        <w:t>soluție cu</w:t>
      </w:r>
      <w:r w:rsidR="002C4E10">
        <w:rPr>
          <w:rFonts w:cstheme="minorHAnsi"/>
        </w:rPr>
        <w:t xml:space="preserve"> cale unică </w:t>
      </w:r>
    </w:p>
    <w:p w:rsidR="003F4B39" w:rsidRPr="00350A1E" w:rsidRDefault="00005E35" w:rsidP="00350A1E">
      <w:pPr>
        <w:pStyle w:val="ListParagraph"/>
        <w:numPr>
          <w:ilvl w:val="0"/>
          <w:numId w:val="8"/>
        </w:numPr>
        <w:jc w:val="both"/>
        <w:rPr>
          <w:rFonts w:cstheme="minorHAnsi"/>
        </w:rPr>
      </w:pPr>
      <w:r w:rsidRPr="00FA5028">
        <w:rPr>
          <w:rFonts w:cstheme="minorHAnsi"/>
          <w:i/>
        </w:rPr>
        <w:t>C</w:t>
      </w:r>
      <w:r w:rsidRPr="00FA5028">
        <w:rPr>
          <w:rFonts w:cstheme="minorHAnsi"/>
          <w:i/>
        </w:rPr>
        <w:t>lasa 2</w:t>
      </w:r>
      <w:r w:rsidR="006F24F1" w:rsidRPr="00FA5028">
        <w:rPr>
          <w:rFonts w:cstheme="minorHAnsi"/>
          <w:i/>
        </w:rPr>
        <w:t>:</w:t>
      </w:r>
      <w:r>
        <w:rPr>
          <w:rFonts w:cstheme="minorHAnsi"/>
        </w:rPr>
        <w:t xml:space="preserve"> </w:t>
      </w:r>
      <w:r w:rsidR="00CE0141">
        <w:rPr>
          <w:rFonts w:cstheme="minorHAnsi"/>
        </w:rPr>
        <w:t>c</w:t>
      </w:r>
      <w:r w:rsidR="003F4B39" w:rsidRPr="00350A1E">
        <w:rPr>
          <w:rFonts w:cstheme="minorHAnsi"/>
        </w:rPr>
        <w:t>alea unică de cu soluție de redundanță</w:t>
      </w:r>
    </w:p>
    <w:p w:rsidR="003F4B39" w:rsidRPr="00350A1E" w:rsidRDefault="003F4B39" w:rsidP="00350A1E">
      <w:pPr>
        <w:pStyle w:val="ListParagraph"/>
        <w:numPr>
          <w:ilvl w:val="0"/>
          <w:numId w:val="8"/>
        </w:numPr>
        <w:jc w:val="both"/>
        <w:rPr>
          <w:rFonts w:cstheme="minorHAnsi"/>
        </w:rPr>
      </w:pPr>
      <w:r w:rsidRPr="00FA5028">
        <w:rPr>
          <w:rFonts w:cstheme="minorHAnsi"/>
          <w:i/>
        </w:rPr>
        <w:t>Clase 3</w:t>
      </w:r>
      <w:r w:rsidR="006F24F1" w:rsidRPr="00FA5028">
        <w:rPr>
          <w:rFonts w:cstheme="minorHAnsi"/>
          <w:i/>
        </w:rPr>
        <w:t>:</w:t>
      </w:r>
      <w:r w:rsidRPr="00350A1E">
        <w:rPr>
          <w:rFonts w:cstheme="minorHAnsi"/>
        </w:rPr>
        <w:t xml:space="preserve"> căi multiple care oferă o soluție simultană de reparație / operare</w:t>
      </w:r>
    </w:p>
    <w:p w:rsidR="003F4B39" w:rsidRPr="00350A1E" w:rsidRDefault="003F4B39" w:rsidP="00350A1E">
      <w:pPr>
        <w:pStyle w:val="ListParagraph"/>
        <w:numPr>
          <w:ilvl w:val="0"/>
          <w:numId w:val="8"/>
        </w:numPr>
        <w:jc w:val="both"/>
        <w:rPr>
          <w:rFonts w:cstheme="minorHAnsi"/>
        </w:rPr>
      </w:pPr>
      <w:r w:rsidRPr="00FA5028">
        <w:rPr>
          <w:rFonts w:cstheme="minorHAnsi"/>
          <w:i/>
        </w:rPr>
        <w:t>Clase 4</w:t>
      </w:r>
      <w:r w:rsidR="006F24F1" w:rsidRPr="00FA5028">
        <w:rPr>
          <w:rFonts w:cstheme="minorHAnsi"/>
          <w:i/>
        </w:rPr>
        <w:t>:</w:t>
      </w:r>
      <w:r w:rsidRPr="00350A1E">
        <w:rPr>
          <w:rFonts w:cstheme="minorHAnsi"/>
        </w:rPr>
        <w:t xml:space="preserve"> căi multiple care oferă o soluție tolerantă la erori (cu excepția perioadei de întreținere)</w:t>
      </w:r>
    </w:p>
    <w:p w:rsidR="00B0433E" w:rsidRDefault="00B0433E" w:rsidP="003F4B39">
      <w:pPr>
        <w:jc w:val="both"/>
        <w:rPr>
          <w:rFonts w:cstheme="minorHAnsi"/>
        </w:rPr>
      </w:pPr>
    </w:p>
    <w:p w:rsidR="003F4B39" w:rsidRPr="003F4B39" w:rsidRDefault="003F4B39" w:rsidP="00B0433E">
      <w:pPr>
        <w:jc w:val="both"/>
        <w:rPr>
          <w:rFonts w:cstheme="minorHAnsi"/>
        </w:rPr>
      </w:pPr>
      <w:r w:rsidRPr="00B0433E">
        <w:rPr>
          <w:rFonts w:cstheme="minorHAnsi"/>
          <w:b/>
        </w:rPr>
        <w:t>Asociația industriei telecomunicațiilor</w:t>
      </w:r>
    </w:p>
    <w:p w:rsidR="003F4B39" w:rsidRPr="003F4B39" w:rsidRDefault="003F4B39" w:rsidP="003F4B39">
      <w:pPr>
        <w:jc w:val="both"/>
        <w:rPr>
          <w:rFonts w:cstheme="minorHAnsi"/>
        </w:rPr>
      </w:pPr>
      <w:r w:rsidRPr="003F4B39">
        <w:rPr>
          <w:rFonts w:cstheme="minorHAnsi"/>
        </w:rPr>
        <w:t>Standardul TIA-942 al Asociației Industriei de Telecomunicații pentru centre de date, publicat în 2005 și actual</w:t>
      </w:r>
      <w:r w:rsidR="00F920C9">
        <w:rPr>
          <w:rFonts w:cstheme="minorHAnsi"/>
        </w:rPr>
        <w:t>izat de patru ori de atunci, defineste</w:t>
      </w:r>
      <w:r w:rsidRPr="003F4B39">
        <w:rPr>
          <w:rFonts w:cstheme="minorHAnsi"/>
        </w:rPr>
        <w:t xml:space="preserve"> </w:t>
      </w:r>
      <w:r w:rsidR="00C06529">
        <w:rPr>
          <w:rFonts w:cstheme="minorHAnsi"/>
        </w:rPr>
        <w:t>4</w:t>
      </w:r>
      <w:r w:rsidR="006B7D40">
        <w:rPr>
          <w:rFonts w:cstheme="minorHAnsi"/>
        </w:rPr>
        <w:t xml:space="preserve"> </w:t>
      </w:r>
      <w:r w:rsidR="00AB4F51">
        <w:rPr>
          <w:rFonts w:cstheme="minorHAnsi"/>
        </w:rPr>
        <w:t xml:space="preserve">niveluri de infrastructură. </w:t>
      </w:r>
    </w:p>
    <w:p w:rsidR="003F4B39" w:rsidRPr="00005E35" w:rsidRDefault="003F4B39" w:rsidP="00005E35">
      <w:pPr>
        <w:pStyle w:val="ListParagraph"/>
        <w:numPr>
          <w:ilvl w:val="0"/>
          <w:numId w:val="8"/>
        </w:numPr>
        <w:jc w:val="both"/>
        <w:rPr>
          <w:rFonts w:cstheme="minorHAnsi"/>
        </w:rPr>
      </w:pPr>
      <w:r w:rsidRPr="00FA5028">
        <w:rPr>
          <w:rFonts w:cstheme="minorHAnsi"/>
          <w:i/>
        </w:rPr>
        <w:t>Nivelul 1</w:t>
      </w:r>
      <w:r w:rsidRPr="00005E35">
        <w:rPr>
          <w:rFonts w:cstheme="minorHAnsi"/>
        </w:rPr>
        <w:t xml:space="preserve"> - </w:t>
      </w:r>
      <w:r w:rsidR="00882662">
        <w:rPr>
          <w:rFonts w:cstheme="minorHAnsi"/>
        </w:rPr>
        <w:t>cameră server ce</w:t>
      </w:r>
      <w:r w:rsidRPr="00005E35">
        <w:rPr>
          <w:rFonts w:cstheme="minorHAnsi"/>
        </w:rPr>
        <w:t xml:space="preserve"> </w:t>
      </w:r>
      <w:r w:rsidR="00975606">
        <w:rPr>
          <w:rFonts w:cstheme="minorHAnsi"/>
        </w:rPr>
        <w:t>executa</w:t>
      </w:r>
      <w:r w:rsidRPr="00005E35">
        <w:rPr>
          <w:rFonts w:cstheme="minorHAnsi"/>
        </w:rPr>
        <w:t xml:space="preserve"> îndrumările de bază</w:t>
      </w:r>
    </w:p>
    <w:p w:rsidR="003F4B39" w:rsidRPr="00005E35" w:rsidRDefault="00FA5028" w:rsidP="00005E35">
      <w:pPr>
        <w:pStyle w:val="ListParagraph"/>
        <w:numPr>
          <w:ilvl w:val="0"/>
          <w:numId w:val="8"/>
        </w:numPr>
        <w:jc w:val="both"/>
        <w:rPr>
          <w:rFonts w:cstheme="minorHAnsi"/>
        </w:rPr>
      </w:pPr>
      <w:r w:rsidRPr="00FA5028">
        <w:rPr>
          <w:rFonts w:cstheme="minorHAnsi"/>
          <w:i/>
        </w:rPr>
        <w:t xml:space="preserve">Nivelul </w:t>
      </w:r>
      <w:r w:rsidR="003F4B39" w:rsidRPr="00FA5028">
        <w:rPr>
          <w:rFonts w:cstheme="minorHAnsi"/>
          <w:i/>
        </w:rPr>
        <w:t>4</w:t>
      </w:r>
      <w:r w:rsidR="003F4B39" w:rsidRPr="00005E35">
        <w:rPr>
          <w:rFonts w:cstheme="minorHAnsi"/>
        </w:rPr>
        <w:t xml:space="preserve"> - conceput pentru a găzdui </w:t>
      </w:r>
      <w:r w:rsidR="00CE7BE6">
        <w:rPr>
          <w:rFonts w:cstheme="minorHAnsi"/>
        </w:rPr>
        <w:t>sisteme informatice de misiuni</w:t>
      </w:r>
      <w:r w:rsidR="00CE7BE6" w:rsidRPr="00CE7BE6">
        <w:rPr>
          <w:rFonts w:cstheme="minorHAnsi"/>
        </w:rPr>
        <w:t xml:space="preserve"> </w:t>
      </w:r>
      <w:r w:rsidR="00CE7BE6" w:rsidRPr="00005E35">
        <w:rPr>
          <w:rFonts w:cstheme="minorHAnsi"/>
        </w:rPr>
        <w:t>critice</w:t>
      </w:r>
      <w:r w:rsidR="003F4B39" w:rsidRPr="00005E35">
        <w:rPr>
          <w:rFonts w:cstheme="minorHAnsi"/>
        </w:rPr>
        <w:t>, cu subsisteme redundante, abilitatea de a funcționa continuu pentru o perioadă de timp nedeterminată în timpul întreruperilor primare de energie.</w:t>
      </w:r>
    </w:p>
    <w:p w:rsidR="008A2F50" w:rsidRDefault="008A2F50" w:rsidP="003F4B39">
      <w:pPr>
        <w:jc w:val="both"/>
        <w:rPr>
          <w:rFonts w:cstheme="minorHAnsi"/>
        </w:rPr>
      </w:pPr>
    </w:p>
    <w:p w:rsidR="003F4B39" w:rsidRPr="008A2F50" w:rsidRDefault="003F4B39" w:rsidP="003F4B39">
      <w:pPr>
        <w:jc w:val="both"/>
        <w:rPr>
          <w:rFonts w:cstheme="minorHAnsi"/>
          <w:b/>
        </w:rPr>
      </w:pPr>
      <w:r w:rsidRPr="008A2F50">
        <w:rPr>
          <w:rFonts w:cstheme="minorHAnsi"/>
          <w:b/>
        </w:rPr>
        <w:t>Uptime Institute - Standard de clasificare a nivelului de centru de date</w:t>
      </w:r>
    </w:p>
    <w:p w:rsidR="003F4B39" w:rsidRPr="003F4B39" w:rsidRDefault="0026322D" w:rsidP="003F4B39">
      <w:pPr>
        <w:jc w:val="both"/>
        <w:rPr>
          <w:rFonts w:cstheme="minorHAnsi"/>
        </w:rPr>
      </w:pPr>
      <w:r>
        <w:rPr>
          <w:rFonts w:cstheme="minorHAnsi"/>
        </w:rPr>
        <w:t>Cele p</w:t>
      </w:r>
      <w:r w:rsidR="003F4B39" w:rsidRPr="003F4B39">
        <w:rPr>
          <w:rFonts w:cstheme="minorHAnsi"/>
        </w:rPr>
        <w:t>atru niveluri sunt definite de standardul Uptime Institute:</w:t>
      </w:r>
    </w:p>
    <w:p w:rsidR="003F4B39" w:rsidRPr="00935CD8" w:rsidRDefault="003F4B39" w:rsidP="00935CD8">
      <w:pPr>
        <w:pStyle w:val="ListParagraph"/>
        <w:numPr>
          <w:ilvl w:val="0"/>
          <w:numId w:val="8"/>
        </w:numPr>
        <w:jc w:val="both"/>
        <w:rPr>
          <w:rFonts w:cstheme="minorHAnsi"/>
        </w:rPr>
      </w:pPr>
      <w:r w:rsidRPr="005A5B56">
        <w:rPr>
          <w:rFonts w:cstheme="minorHAnsi"/>
          <w:i/>
        </w:rPr>
        <w:t>Nivelul</w:t>
      </w:r>
      <w:r w:rsidR="005A5B56" w:rsidRPr="005A5B56">
        <w:rPr>
          <w:rFonts w:cstheme="minorHAnsi"/>
          <w:i/>
        </w:rPr>
        <w:t xml:space="preserve">  </w:t>
      </w:r>
      <w:r w:rsidRPr="005A5B56">
        <w:rPr>
          <w:rFonts w:cstheme="minorHAnsi"/>
          <w:i/>
        </w:rPr>
        <w:t xml:space="preserve"> I</w:t>
      </w:r>
      <w:r w:rsidRPr="00935CD8">
        <w:rPr>
          <w:rFonts w:cstheme="minorHAnsi"/>
        </w:rPr>
        <w:t>: este descris ca CAPACITATE DE BAZĂ și trebuie să includă un UPS</w:t>
      </w:r>
    </w:p>
    <w:p w:rsidR="003F4B39" w:rsidRPr="00935CD8" w:rsidRDefault="003F4B39" w:rsidP="00935CD8">
      <w:pPr>
        <w:pStyle w:val="ListParagraph"/>
        <w:numPr>
          <w:ilvl w:val="0"/>
          <w:numId w:val="8"/>
        </w:numPr>
        <w:jc w:val="both"/>
        <w:rPr>
          <w:rFonts w:cstheme="minorHAnsi"/>
        </w:rPr>
      </w:pPr>
      <w:r w:rsidRPr="005A5B56">
        <w:rPr>
          <w:rFonts w:cstheme="minorHAnsi"/>
          <w:i/>
        </w:rPr>
        <w:t xml:space="preserve">Nivelul </w:t>
      </w:r>
      <w:r w:rsidR="005A5B56" w:rsidRPr="005A5B56">
        <w:rPr>
          <w:rFonts w:cstheme="minorHAnsi"/>
          <w:i/>
        </w:rPr>
        <w:t xml:space="preserve"> </w:t>
      </w:r>
      <w:r w:rsidRPr="005A5B56">
        <w:rPr>
          <w:rFonts w:cstheme="minorHAnsi"/>
          <w:i/>
        </w:rPr>
        <w:t>II</w:t>
      </w:r>
      <w:r w:rsidRPr="00935CD8">
        <w:rPr>
          <w:rFonts w:cstheme="minorHAnsi"/>
        </w:rPr>
        <w:t>: este descris ca CAPACITATE REDUNDANTĂ și adaugă putere și răcire redundante</w:t>
      </w:r>
    </w:p>
    <w:p w:rsidR="003F4B39" w:rsidRPr="00935CD8" w:rsidRDefault="003F4B39" w:rsidP="00935CD8">
      <w:pPr>
        <w:pStyle w:val="ListParagraph"/>
        <w:numPr>
          <w:ilvl w:val="0"/>
          <w:numId w:val="8"/>
        </w:numPr>
        <w:jc w:val="both"/>
        <w:rPr>
          <w:rFonts w:cstheme="minorHAnsi"/>
        </w:rPr>
      </w:pPr>
      <w:r w:rsidRPr="005A5B56">
        <w:rPr>
          <w:rFonts w:cstheme="minorHAnsi"/>
          <w:i/>
        </w:rPr>
        <w:t>Nivelul III</w:t>
      </w:r>
      <w:r w:rsidRPr="00935CD8">
        <w:rPr>
          <w:rFonts w:cstheme="minorHAnsi"/>
        </w:rPr>
        <w:t>: este descris ca ÎNTREȚINERE CONCURENTĂ și asigură că ORICE componentă poate fi scoasă din funcțiune fără a afecta producția</w:t>
      </w:r>
    </w:p>
    <w:p w:rsidR="003F4B39" w:rsidRDefault="003F4B39" w:rsidP="00935CD8">
      <w:pPr>
        <w:pStyle w:val="ListParagraph"/>
        <w:numPr>
          <w:ilvl w:val="0"/>
          <w:numId w:val="8"/>
        </w:numPr>
        <w:jc w:val="both"/>
        <w:rPr>
          <w:rFonts w:cstheme="minorHAnsi"/>
        </w:rPr>
      </w:pPr>
      <w:r w:rsidRPr="005A5B56">
        <w:rPr>
          <w:rFonts w:cstheme="minorHAnsi"/>
          <w:i/>
        </w:rPr>
        <w:t>Nivelul IV</w:t>
      </w:r>
      <w:r w:rsidRPr="00935CD8">
        <w:rPr>
          <w:rFonts w:cstheme="minorHAnsi"/>
        </w:rPr>
        <w:t xml:space="preserve">: </w:t>
      </w:r>
      <w:proofErr w:type="gramStart"/>
      <w:r w:rsidRPr="00935CD8">
        <w:rPr>
          <w:rFonts w:cstheme="minorHAnsi"/>
        </w:rPr>
        <w:t>este</w:t>
      </w:r>
      <w:proofErr w:type="gramEnd"/>
      <w:r w:rsidRPr="00935CD8">
        <w:rPr>
          <w:rFonts w:cstheme="minorHAnsi"/>
        </w:rPr>
        <w:t xml:space="preserve"> descris ca TOLERANT DE DEFECȚIE permițând izolarea oricărei capacități de producție de ORICE tip de defecțiune.</w:t>
      </w:r>
    </w:p>
    <w:p w:rsidR="002A50EA" w:rsidRPr="002A50EA" w:rsidRDefault="002A50EA" w:rsidP="002A50EA">
      <w:pPr>
        <w:jc w:val="both"/>
        <w:rPr>
          <w:rFonts w:cstheme="minorHAnsi"/>
          <w:b/>
        </w:rPr>
      </w:pPr>
    </w:p>
    <w:p w:rsidR="002A50EA" w:rsidRPr="002A50EA" w:rsidRDefault="002A50EA" w:rsidP="002A50EA">
      <w:pPr>
        <w:jc w:val="both"/>
        <w:rPr>
          <w:rFonts w:cstheme="minorHAnsi"/>
          <w:b/>
          <w:sz w:val="28"/>
          <w:szCs w:val="28"/>
          <w:u w:val="single"/>
        </w:rPr>
      </w:pPr>
      <w:r w:rsidRPr="002A50EA">
        <w:rPr>
          <w:rFonts w:cstheme="minorHAnsi"/>
          <w:b/>
          <w:sz w:val="28"/>
          <w:szCs w:val="28"/>
          <w:u w:val="single"/>
        </w:rPr>
        <w:t>Proiectare centru de date</w:t>
      </w:r>
    </w:p>
    <w:p w:rsidR="002A50EA" w:rsidRPr="002A50EA" w:rsidRDefault="002A50EA" w:rsidP="002A50EA">
      <w:pPr>
        <w:jc w:val="both"/>
        <w:rPr>
          <w:rFonts w:cstheme="minorHAnsi"/>
        </w:rPr>
      </w:pPr>
      <w:r w:rsidRPr="002A50EA">
        <w:rPr>
          <w:rFonts w:cstheme="minorHAnsi"/>
        </w:rPr>
        <w:t xml:space="preserve">Domeniul proiectării centrelor de date </w:t>
      </w:r>
      <w:proofErr w:type="gramStart"/>
      <w:r w:rsidR="002B55D1">
        <w:rPr>
          <w:rFonts w:cstheme="minorHAnsi"/>
        </w:rPr>
        <w:t>sa</w:t>
      </w:r>
      <w:proofErr w:type="gramEnd"/>
      <w:r w:rsidR="002B55D1">
        <w:rPr>
          <w:rFonts w:cstheme="minorHAnsi"/>
        </w:rPr>
        <w:t xml:space="preserve"> dezvoltat</w:t>
      </w:r>
      <w:r w:rsidRPr="002A50EA">
        <w:rPr>
          <w:rFonts w:cstheme="minorHAnsi"/>
        </w:rPr>
        <w:t xml:space="preserve"> de zeci de ani în diverse direcții, inclusiv construcții noi mari și mici, împreună cu reutilizarea creativă a instalațiilor existente, cum ar fi spațiul de vânzare cu amănuntul abandonat, vechile mine de sare și</w:t>
      </w:r>
      <w:r w:rsidR="004179B6">
        <w:rPr>
          <w:rFonts w:cstheme="minorHAnsi"/>
        </w:rPr>
        <w:t xml:space="preserve"> buncărele din epoca de război.</w:t>
      </w:r>
    </w:p>
    <w:p w:rsidR="002A50EA" w:rsidRPr="004179B6" w:rsidRDefault="002A50EA" w:rsidP="004179B6">
      <w:pPr>
        <w:pStyle w:val="ListParagraph"/>
        <w:numPr>
          <w:ilvl w:val="0"/>
          <w:numId w:val="8"/>
        </w:numPr>
        <w:jc w:val="both"/>
        <w:rPr>
          <w:rFonts w:cstheme="minorHAnsi"/>
        </w:rPr>
      </w:pPr>
      <w:r w:rsidRPr="004179B6">
        <w:rPr>
          <w:rFonts w:cstheme="minorHAnsi"/>
        </w:rPr>
        <w:t>a fost deja propus un ce</w:t>
      </w:r>
      <w:r w:rsidR="004179B6" w:rsidRPr="004179B6">
        <w:rPr>
          <w:rFonts w:cstheme="minorHAnsi"/>
        </w:rPr>
        <w:t xml:space="preserve">ntru de date cu 65 de etaje </w:t>
      </w:r>
    </w:p>
    <w:p w:rsidR="002A50EA" w:rsidRPr="004179B6" w:rsidRDefault="002A50EA" w:rsidP="004179B6">
      <w:pPr>
        <w:pStyle w:val="ListParagraph"/>
        <w:numPr>
          <w:ilvl w:val="0"/>
          <w:numId w:val="8"/>
        </w:numPr>
        <w:jc w:val="both"/>
        <w:rPr>
          <w:rFonts w:cstheme="minorHAnsi"/>
        </w:rPr>
      </w:pPr>
      <w:r w:rsidRPr="004179B6">
        <w:rPr>
          <w:rFonts w:cstheme="minorHAnsi"/>
        </w:rPr>
        <w:t xml:space="preserve">numărul de centre de date începând </w:t>
      </w:r>
      <w:r w:rsidR="00B74BA2">
        <w:rPr>
          <w:rFonts w:cstheme="minorHAnsi"/>
        </w:rPr>
        <w:t>pentru</w:t>
      </w:r>
      <w:r w:rsidRPr="004179B6">
        <w:rPr>
          <w:rFonts w:cstheme="minorHAnsi"/>
        </w:rPr>
        <w:t xml:space="preserve"> 2016 a crescut dincolo de 3 milioane în </w:t>
      </w:r>
      <w:r w:rsidR="00F934F7">
        <w:rPr>
          <w:rFonts w:cstheme="minorHAnsi"/>
        </w:rPr>
        <w:t>SUA, de</w:t>
      </w:r>
      <w:r w:rsidRPr="004179B6">
        <w:rPr>
          <w:rFonts w:cstheme="minorHAnsi"/>
        </w:rPr>
        <w:t xml:space="preserve">  trei ori </w:t>
      </w:r>
      <w:r w:rsidR="00C668D1" w:rsidRPr="004179B6">
        <w:rPr>
          <w:rFonts w:cstheme="minorHAnsi"/>
        </w:rPr>
        <w:t xml:space="preserve">mai mult </w:t>
      </w:r>
      <w:r w:rsidRPr="004179B6">
        <w:rPr>
          <w:rFonts w:cstheme="minorHAnsi"/>
        </w:rPr>
        <w:t>dec</w:t>
      </w:r>
      <w:r w:rsidR="005F4863">
        <w:rPr>
          <w:rFonts w:cstheme="minorHAnsi"/>
        </w:rPr>
        <w:t xml:space="preserve">ât numărul din întreaga lume </w:t>
      </w:r>
    </w:p>
    <w:p w:rsidR="00DF7E96" w:rsidRDefault="002A50EA" w:rsidP="00DF7E96">
      <w:pPr>
        <w:ind w:left="48"/>
        <w:jc w:val="both"/>
        <w:rPr>
          <w:rFonts w:cstheme="minorHAnsi"/>
        </w:rPr>
      </w:pPr>
      <w:r w:rsidRPr="00054310">
        <w:rPr>
          <w:rFonts w:cstheme="minorHAnsi"/>
        </w:rPr>
        <w:lastRenderedPageBreak/>
        <w:t>Codurile locale de construcție pot reglementa înălțimile minime ale plafonului și alți parametri. Unele dintre considerațiile în proiectarea centrelor de date sunt:</w:t>
      </w:r>
    </w:p>
    <w:p w:rsidR="002A50EA" w:rsidRPr="00CA5B50" w:rsidRDefault="002A50EA" w:rsidP="00CA5B50">
      <w:pPr>
        <w:pStyle w:val="ListParagraph"/>
        <w:numPr>
          <w:ilvl w:val="0"/>
          <w:numId w:val="8"/>
        </w:numPr>
        <w:jc w:val="both"/>
        <w:rPr>
          <w:rFonts w:cstheme="minorHAnsi"/>
        </w:rPr>
      </w:pPr>
      <w:r w:rsidRPr="008F0F1E">
        <w:rPr>
          <w:rFonts w:cstheme="minorHAnsi"/>
          <w:i/>
        </w:rPr>
        <w:t>dimensiune</w:t>
      </w:r>
      <w:r w:rsidRPr="00CA5B50">
        <w:rPr>
          <w:rFonts w:cstheme="minorHAnsi"/>
        </w:rPr>
        <w:t xml:space="preserve"> - o cameră a unei clădiri, unul sau mai multe etaje sau o întreagă clădire și poate conține </w:t>
      </w:r>
      <w:r w:rsidR="003F6D2F">
        <w:rPr>
          <w:rFonts w:cstheme="minorHAnsi"/>
        </w:rPr>
        <w:t xml:space="preserve">1.000 sau mai multe servere </w:t>
      </w:r>
    </w:p>
    <w:p w:rsidR="002A50EA" w:rsidRPr="00A25974" w:rsidRDefault="002A50EA" w:rsidP="00A25974">
      <w:pPr>
        <w:pStyle w:val="ListParagraph"/>
        <w:numPr>
          <w:ilvl w:val="0"/>
          <w:numId w:val="8"/>
        </w:numPr>
        <w:jc w:val="both"/>
        <w:rPr>
          <w:rFonts w:cstheme="minorHAnsi"/>
        </w:rPr>
      </w:pPr>
      <w:r w:rsidRPr="00A25974">
        <w:rPr>
          <w:rFonts w:cstheme="minorHAnsi"/>
        </w:rPr>
        <w:t xml:space="preserve">spațiu, energie, răcire și </w:t>
      </w:r>
      <w:r w:rsidR="00AF4E72">
        <w:rPr>
          <w:rFonts w:cstheme="minorHAnsi"/>
        </w:rPr>
        <w:t>costuri în centrul de date.</w:t>
      </w:r>
    </w:p>
    <w:p w:rsidR="00EA6001" w:rsidRPr="00EA6001" w:rsidRDefault="002A50EA" w:rsidP="00EA6001">
      <w:pPr>
        <w:pStyle w:val="ListParagraph"/>
        <w:numPr>
          <w:ilvl w:val="0"/>
          <w:numId w:val="8"/>
        </w:numPr>
        <w:jc w:val="both"/>
        <w:rPr>
          <w:rFonts w:cstheme="minorHAnsi"/>
        </w:rPr>
      </w:pPr>
      <w:r w:rsidRPr="008F0F1E">
        <w:rPr>
          <w:rFonts w:cstheme="minorHAnsi"/>
          <w:i/>
        </w:rPr>
        <w:t>Infrastructură de inginerie mecanică</w:t>
      </w:r>
      <w:r w:rsidRPr="00CD3937">
        <w:rPr>
          <w:rFonts w:cstheme="minorHAnsi"/>
        </w:rPr>
        <w:t xml:space="preserve"> - încălzire, ventilație și climatizare (HVAC); echipamente de umidificare și dezumidificare; </w:t>
      </w:r>
      <w:r w:rsidR="00CD3937" w:rsidRPr="00CD3937">
        <w:rPr>
          <w:rFonts w:cstheme="minorHAnsi"/>
        </w:rPr>
        <w:t>aparate de control a presiunii</w:t>
      </w:r>
      <w:r w:rsidRPr="00CD3937">
        <w:rPr>
          <w:rFonts w:cstheme="minorHAnsi"/>
        </w:rPr>
        <w:t xml:space="preserve">. </w:t>
      </w:r>
    </w:p>
    <w:p w:rsidR="002A50EA" w:rsidRDefault="002A50EA" w:rsidP="00EA6001">
      <w:pPr>
        <w:pStyle w:val="ListParagraph"/>
        <w:numPr>
          <w:ilvl w:val="0"/>
          <w:numId w:val="8"/>
        </w:numPr>
        <w:jc w:val="both"/>
        <w:rPr>
          <w:rFonts w:cstheme="minorHAnsi"/>
        </w:rPr>
      </w:pPr>
      <w:r w:rsidRPr="008F0F1E">
        <w:rPr>
          <w:rFonts w:cstheme="minorHAnsi"/>
          <w:i/>
        </w:rPr>
        <w:t>Proiectarea infrastructurii electrotehnice</w:t>
      </w:r>
      <w:r w:rsidRPr="00EA6001">
        <w:rPr>
          <w:rFonts w:cstheme="minorHAnsi"/>
        </w:rPr>
        <w:t xml:space="preserve"> - planificarea serviciilor utilitare; distribuție, comutare și bypass de la surse de alimentare; sisteme de surse de alimentare neîntreruptibile (UPS); și altele</w:t>
      </w:r>
    </w:p>
    <w:p w:rsidR="00D71061" w:rsidRDefault="00D71061" w:rsidP="00D71061">
      <w:pPr>
        <w:jc w:val="both"/>
        <w:rPr>
          <w:rFonts w:cstheme="minorHAnsi"/>
          <w:b/>
        </w:rPr>
      </w:pPr>
    </w:p>
    <w:p w:rsidR="00D71061" w:rsidRPr="00D71061" w:rsidRDefault="00D71061" w:rsidP="00D71061">
      <w:pPr>
        <w:jc w:val="both"/>
        <w:rPr>
          <w:rFonts w:cstheme="minorHAnsi"/>
          <w:b/>
        </w:rPr>
      </w:pPr>
      <w:r w:rsidRPr="00D71061">
        <w:rPr>
          <w:rFonts w:cstheme="minorHAnsi"/>
          <w:b/>
        </w:rPr>
        <w:t>Criterii de proiectare și compromisuri</w:t>
      </w:r>
    </w:p>
    <w:p w:rsidR="00D71061" w:rsidRPr="00D71061" w:rsidRDefault="00D71061" w:rsidP="00D71061">
      <w:pPr>
        <w:jc w:val="both"/>
        <w:rPr>
          <w:rFonts w:cstheme="minorHAnsi"/>
        </w:rPr>
      </w:pPr>
      <w:r w:rsidRPr="008F0F1E">
        <w:rPr>
          <w:rFonts w:cstheme="minorHAnsi"/>
          <w:i/>
        </w:rPr>
        <w:t>Așteptări de disponibilitate</w:t>
      </w:r>
      <w:r w:rsidRPr="00D71061">
        <w:rPr>
          <w:rFonts w:cstheme="minorHAnsi"/>
        </w:rPr>
        <w:t xml:space="preserve">: Costul evitării perioadelor de nefuncționare nu ar trebui </w:t>
      </w:r>
      <w:proofErr w:type="gramStart"/>
      <w:r w:rsidRPr="00D71061">
        <w:rPr>
          <w:rFonts w:cstheme="minorHAnsi"/>
        </w:rPr>
        <w:t>să</w:t>
      </w:r>
      <w:proofErr w:type="gramEnd"/>
      <w:r w:rsidRPr="00D71061">
        <w:rPr>
          <w:rFonts w:cstheme="minorHAnsi"/>
        </w:rPr>
        <w:t xml:space="preserve"> depășea</w:t>
      </w:r>
      <w:r w:rsidR="00623A3D">
        <w:rPr>
          <w:rFonts w:cstheme="minorHAnsi"/>
        </w:rPr>
        <w:t>scă costul de nefuncționare.</w:t>
      </w:r>
    </w:p>
    <w:p w:rsidR="00D71061" w:rsidRPr="00D71061" w:rsidRDefault="00E8169F" w:rsidP="00D71061">
      <w:pPr>
        <w:jc w:val="both"/>
        <w:rPr>
          <w:rFonts w:cstheme="minorHAnsi"/>
        </w:rPr>
      </w:pPr>
      <w:r>
        <w:rPr>
          <w:rFonts w:cstheme="minorHAnsi"/>
          <w:i/>
        </w:rPr>
        <w:t xml:space="preserve">Alegerea </w:t>
      </w:r>
      <w:r w:rsidR="00FE3884" w:rsidRPr="00E8169F">
        <w:rPr>
          <w:rFonts w:cstheme="minorHAnsi"/>
          <w:i/>
        </w:rPr>
        <w:t>locatie</w:t>
      </w:r>
      <w:r w:rsidR="00D71061" w:rsidRPr="00D71061">
        <w:rPr>
          <w:rFonts w:cstheme="minorHAnsi"/>
        </w:rPr>
        <w:t>: Factorii de localizare includ apropierea de rețelele electrice, infrastructura de telecomunicații, serviciile de rețea, liniile de transport și serviciile de urgenț</w:t>
      </w:r>
      <w:r w:rsidR="00352AC1">
        <w:rPr>
          <w:rFonts w:cstheme="minorHAnsi"/>
        </w:rPr>
        <w:t>ă. Altele sunt trasee de zbor</w:t>
      </w:r>
      <w:r w:rsidR="00D71061" w:rsidRPr="00D71061">
        <w:rPr>
          <w:rFonts w:cstheme="minorHAnsi"/>
        </w:rPr>
        <w:t>, riscuri geologice și climă (asocia</w:t>
      </w:r>
      <w:r w:rsidR="00684FE1">
        <w:rPr>
          <w:rFonts w:cstheme="minorHAnsi"/>
        </w:rPr>
        <w:t>te cu costurile de răcire).</w:t>
      </w:r>
    </w:p>
    <w:p w:rsidR="00A108D0" w:rsidRDefault="00D71061" w:rsidP="00D71061">
      <w:pPr>
        <w:jc w:val="both"/>
        <w:rPr>
          <w:rFonts w:cstheme="minorHAnsi"/>
        </w:rPr>
      </w:pPr>
      <w:r w:rsidRPr="00D71061">
        <w:rPr>
          <w:rFonts w:cstheme="minorHAnsi"/>
        </w:rPr>
        <w:t xml:space="preserve">Adesea, </w:t>
      </w:r>
      <w:r w:rsidR="003659D8">
        <w:rPr>
          <w:rFonts w:cstheme="minorHAnsi"/>
        </w:rPr>
        <w:t>electricitatea</w:t>
      </w:r>
      <w:r w:rsidRPr="00D71061">
        <w:rPr>
          <w:rFonts w:cstheme="minorHAnsi"/>
        </w:rPr>
        <w:t xml:space="preserve"> disponibilă </w:t>
      </w:r>
      <w:proofErr w:type="gramStart"/>
      <w:r w:rsidRPr="00D71061">
        <w:rPr>
          <w:rFonts w:cstheme="minorHAnsi"/>
        </w:rPr>
        <w:t>este</w:t>
      </w:r>
      <w:proofErr w:type="gramEnd"/>
      <w:r w:rsidRPr="00D71061">
        <w:rPr>
          <w:rFonts w:cstheme="minorHAnsi"/>
        </w:rPr>
        <w:t xml:space="preserve"> cel mai greu de schimbat.</w:t>
      </w:r>
    </w:p>
    <w:p w:rsidR="00AF2530" w:rsidRDefault="00AF2530" w:rsidP="00D71061">
      <w:pPr>
        <w:jc w:val="both"/>
        <w:rPr>
          <w:rFonts w:cstheme="minorHAnsi"/>
        </w:rPr>
      </w:pPr>
    </w:p>
    <w:p w:rsidR="00A108D0" w:rsidRPr="00A108D0" w:rsidRDefault="00A108D0" w:rsidP="00AF2530">
      <w:pPr>
        <w:jc w:val="both"/>
        <w:rPr>
          <w:rFonts w:cstheme="minorHAnsi"/>
        </w:rPr>
      </w:pPr>
      <w:r w:rsidRPr="00AF2530">
        <w:rPr>
          <w:rFonts w:cstheme="minorHAnsi"/>
          <w:b/>
        </w:rPr>
        <w:t>Valabilitate ridicată</w:t>
      </w:r>
    </w:p>
    <w:p w:rsidR="00A108D0" w:rsidRPr="00A108D0" w:rsidRDefault="00A108D0" w:rsidP="00A108D0">
      <w:pPr>
        <w:jc w:val="both"/>
        <w:rPr>
          <w:rFonts w:cstheme="minorHAnsi"/>
        </w:rPr>
      </w:pPr>
      <w:r w:rsidRPr="00A108D0">
        <w:rPr>
          <w:rFonts w:cstheme="minorHAnsi"/>
        </w:rPr>
        <w:t>Există diferite valori pentru măsurarea disponibilității datelor care rezultă din disponibilitatea centrului de date peste 95% timp de funcționare, cu partea de sus a scalei numărând câte „nouă”</w:t>
      </w:r>
      <w:r w:rsidR="00916F6F">
        <w:rPr>
          <w:rFonts w:cstheme="minorHAnsi"/>
        </w:rPr>
        <w:t xml:space="preserve"> pot fi plasate după „99%”. </w:t>
      </w:r>
    </w:p>
    <w:p w:rsidR="00A108D0" w:rsidRPr="00A108D0" w:rsidRDefault="00A108D0" w:rsidP="00ED193A">
      <w:pPr>
        <w:jc w:val="both"/>
        <w:rPr>
          <w:rFonts w:cstheme="minorHAnsi"/>
        </w:rPr>
      </w:pPr>
      <w:r w:rsidRPr="00916F6F">
        <w:rPr>
          <w:rFonts w:cstheme="minorHAnsi"/>
          <w:b/>
        </w:rPr>
        <w:t>Modularitate și flexibilitate</w:t>
      </w:r>
    </w:p>
    <w:p w:rsidR="00A108D0" w:rsidRPr="00A108D0" w:rsidRDefault="00A108D0" w:rsidP="00A108D0">
      <w:pPr>
        <w:jc w:val="both"/>
        <w:rPr>
          <w:rFonts w:cstheme="minorHAnsi"/>
        </w:rPr>
      </w:pPr>
      <w:r w:rsidRPr="00A108D0">
        <w:rPr>
          <w:rFonts w:cstheme="minorHAnsi"/>
        </w:rPr>
        <w:t xml:space="preserve">Modularitatea și flexibilitatea sunt elemente cheie </w:t>
      </w:r>
      <w:r w:rsidR="002A1DFD">
        <w:rPr>
          <w:rFonts w:cstheme="minorHAnsi"/>
        </w:rPr>
        <w:t>in</w:t>
      </w:r>
      <w:r w:rsidRPr="00A108D0">
        <w:rPr>
          <w:rFonts w:cstheme="minorHAnsi"/>
        </w:rPr>
        <w:t xml:space="preserve"> creșterea și schimbarea unui centru de date în timp. Modulele centrului de date sunt elemente de construcție standardizate, pre-proiectate, care pot fi configurate și mutate cu ușurință după cum </w:t>
      </w:r>
      <w:proofErr w:type="gramStart"/>
      <w:r w:rsidRPr="00A108D0">
        <w:rPr>
          <w:rFonts w:cstheme="minorHAnsi"/>
        </w:rPr>
        <w:t>este</w:t>
      </w:r>
      <w:proofErr w:type="gramEnd"/>
      <w:r w:rsidRPr="00A108D0">
        <w:rPr>
          <w:rFonts w:cstheme="minorHAnsi"/>
        </w:rPr>
        <w:t xml:space="preserve"> necesar.</w:t>
      </w:r>
    </w:p>
    <w:p w:rsidR="00A108D0" w:rsidRDefault="00A108D0" w:rsidP="00A108D0">
      <w:pPr>
        <w:jc w:val="both"/>
        <w:rPr>
          <w:rFonts w:cstheme="minorHAnsi"/>
        </w:rPr>
      </w:pPr>
      <w:proofErr w:type="gramStart"/>
      <w:r w:rsidRPr="00A108D0">
        <w:rPr>
          <w:rFonts w:cstheme="minorHAnsi"/>
        </w:rPr>
        <w:t>Un</w:t>
      </w:r>
      <w:proofErr w:type="gramEnd"/>
      <w:r w:rsidRPr="00A108D0">
        <w:rPr>
          <w:rFonts w:cstheme="minorHAnsi"/>
        </w:rPr>
        <w:t xml:space="preserve"> centru de date modular poate consta din echipamente pentru centre de date conținute în containere de transport sau con</w:t>
      </w:r>
      <w:r w:rsidR="002A7E51">
        <w:rPr>
          <w:rFonts w:cstheme="minorHAnsi"/>
        </w:rPr>
        <w:t>tainere portabile similare.</w:t>
      </w:r>
      <w:r w:rsidRPr="00A108D0">
        <w:rPr>
          <w:rFonts w:cstheme="minorHAnsi"/>
        </w:rPr>
        <w:t xml:space="preserve"> Componentele centrului de date pot fi prefabricate și standardizate, ceea </w:t>
      </w:r>
      <w:proofErr w:type="gramStart"/>
      <w:r w:rsidRPr="00A108D0">
        <w:rPr>
          <w:rFonts w:cstheme="minorHAnsi"/>
        </w:rPr>
        <w:t>ce</w:t>
      </w:r>
      <w:proofErr w:type="gramEnd"/>
      <w:r w:rsidRPr="00A108D0">
        <w:rPr>
          <w:rFonts w:cstheme="minorHAnsi"/>
        </w:rPr>
        <w:t xml:space="preserve"> facilitează dep</w:t>
      </w:r>
      <w:r w:rsidR="00A10D6C">
        <w:rPr>
          <w:rFonts w:cstheme="minorHAnsi"/>
        </w:rPr>
        <w:t xml:space="preserve">lasarea, dacă este necesar. </w:t>
      </w:r>
    </w:p>
    <w:p w:rsidR="001E5D59" w:rsidRDefault="001E5D59" w:rsidP="00A108D0">
      <w:pPr>
        <w:jc w:val="both"/>
        <w:rPr>
          <w:rFonts w:cstheme="minorHAnsi"/>
        </w:rPr>
      </w:pPr>
    </w:p>
    <w:p w:rsidR="001E5D59" w:rsidRPr="001E5D59" w:rsidRDefault="001E5D59" w:rsidP="001E5D59">
      <w:pPr>
        <w:jc w:val="both"/>
        <w:rPr>
          <w:rFonts w:cstheme="minorHAnsi"/>
          <w:b/>
        </w:rPr>
      </w:pPr>
      <w:r w:rsidRPr="001E5D59">
        <w:rPr>
          <w:rFonts w:cstheme="minorHAnsi"/>
          <w:b/>
        </w:rPr>
        <w:t>Controlul mediului</w:t>
      </w:r>
    </w:p>
    <w:p w:rsidR="001E5D59" w:rsidRPr="001E5D59" w:rsidRDefault="001E5D59" w:rsidP="001E5D59">
      <w:pPr>
        <w:jc w:val="both"/>
        <w:rPr>
          <w:rFonts w:cstheme="minorHAnsi"/>
        </w:rPr>
      </w:pPr>
      <w:r>
        <w:rPr>
          <w:rFonts w:cstheme="minorHAnsi"/>
        </w:rPr>
        <w:t xml:space="preserve">Temperatura </w:t>
      </w:r>
      <w:r w:rsidRPr="001E5D59">
        <w:rPr>
          <w:rFonts w:cstheme="minorHAnsi"/>
        </w:rPr>
        <w:t>și umiditatea sunt controlate prin:</w:t>
      </w:r>
    </w:p>
    <w:p w:rsidR="001E5D59" w:rsidRPr="001E5D59" w:rsidRDefault="001E5D59" w:rsidP="001E5D59">
      <w:pPr>
        <w:pStyle w:val="ListParagraph"/>
        <w:numPr>
          <w:ilvl w:val="0"/>
          <w:numId w:val="8"/>
        </w:numPr>
        <w:jc w:val="both"/>
        <w:rPr>
          <w:rFonts w:cstheme="minorHAnsi"/>
        </w:rPr>
      </w:pPr>
      <w:r w:rsidRPr="001E5D59">
        <w:rPr>
          <w:rFonts w:cstheme="minorHAnsi"/>
        </w:rPr>
        <w:t>Aer conditionat</w:t>
      </w:r>
    </w:p>
    <w:p w:rsidR="001E5D59" w:rsidRPr="00E93B08" w:rsidRDefault="001E5D59" w:rsidP="00E93B08">
      <w:pPr>
        <w:pStyle w:val="ListParagraph"/>
        <w:numPr>
          <w:ilvl w:val="0"/>
          <w:numId w:val="8"/>
        </w:numPr>
        <w:jc w:val="both"/>
        <w:rPr>
          <w:rFonts w:cstheme="minorHAnsi"/>
        </w:rPr>
      </w:pPr>
      <w:proofErr w:type="gramStart"/>
      <w:r w:rsidRPr="00E93B08">
        <w:rPr>
          <w:rFonts w:cstheme="minorHAnsi"/>
        </w:rPr>
        <w:t>răcire</w:t>
      </w:r>
      <w:proofErr w:type="gramEnd"/>
      <w:r w:rsidRPr="00E93B08">
        <w:rPr>
          <w:rFonts w:cstheme="minorHAnsi"/>
        </w:rPr>
        <w:t xml:space="preserve"> indirectă, cum ar fi </w:t>
      </w:r>
      <w:r w:rsidR="00A103DE">
        <w:rPr>
          <w:rFonts w:cstheme="minorHAnsi"/>
        </w:rPr>
        <w:t>utilizarea aerului exterior,</w:t>
      </w:r>
      <w:r w:rsidRPr="00E93B08">
        <w:rPr>
          <w:rFonts w:cstheme="minorHAnsi"/>
        </w:rPr>
        <w:t xml:space="preserve"> (IDEC) și de asemenea, utilizarea apei de mare.</w:t>
      </w:r>
    </w:p>
    <w:p w:rsidR="000430F2" w:rsidRDefault="000430F2" w:rsidP="001E5D59">
      <w:pPr>
        <w:jc w:val="both"/>
        <w:rPr>
          <w:rFonts w:cstheme="minorHAnsi"/>
        </w:rPr>
      </w:pPr>
    </w:p>
    <w:p w:rsidR="001E5D59" w:rsidRPr="000430F2" w:rsidRDefault="001E5D59" w:rsidP="001E5D59">
      <w:pPr>
        <w:jc w:val="both"/>
        <w:rPr>
          <w:rFonts w:cstheme="minorHAnsi"/>
          <w:b/>
        </w:rPr>
      </w:pPr>
      <w:r w:rsidRPr="000430F2">
        <w:rPr>
          <w:rFonts w:cstheme="minorHAnsi"/>
          <w:b/>
        </w:rPr>
        <w:lastRenderedPageBreak/>
        <w:t>Putere electrica</w:t>
      </w:r>
    </w:p>
    <w:p w:rsidR="001E5D59" w:rsidRPr="001E5D59" w:rsidRDefault="001E5D59" w:rsidP="001E5D59">
      <w:pPr>
        <w:jc w:val="both"/>
        <w:rPr>
          <w:rFonts w:cstheme="minorHAnsi"/>
        </w:rPr>
      </w:pPr>
      <w:r w:rsidRPr="001E5D59">
        <w:rPr>
          <w:rFonts w:cstheme="minorHAnsi"/>
        </w:rPr>
        <w:t xml:space="preserve">Puterea de rezervă constă din una sau mai multe surse de alimentare neîntreruptibile, </w:t>
      </w:r>
      <w:r w:rsidR="00C25BEE">
        <w:rPr>
          <w:rFonts w:cstheme="minorHAnsi"/>
        </w:rPr>
        <w:t>baterii și</w:t>
      </w:r>
      <w:r w:rsidR="00516633">
        <w:rPr>
          <w:rFonts w:cstheme="minorHAnsi"/>
        </w:rPr>
        <w:t>/</w:t>
      </w:r>
      <w:r w:rsidRPr="001E5D59">
        <w:rPr>
          <w:rFonts w:cstheme="minorHAnsi"/>
        </w:rPr>
        <w:t>sau generatoa</w:t>
      </w:r>
      <w:r w:rsidR="00796B8C">
        <w:rPr>
          <w:rFonts w:cstheme="minorHAnsi"/>
        </w:rPr>
        <w:t>re de turbină diesel / gaz.</w:t>
      </w:r>
    </w:p>
    <w:p w:rsidR="001E5D59" w:rsidRDefault="001E5D59" w:rsidP="001E5D59">
      <w:pPr>
        <w:jc w:val="both"/>
        <w:rPr>
          <w:rFonts w:cstheme="minorHAnsi"/>
        </w:rPr>
      </w:pPr>
      <w:r w:rsidRPr="001E5D59">
        <w:rPr>
          <w:rFonts w:cstheme="minorHAnsi"/>
        </w:rPr>
        <w:t xml:space="preserve">Pentru a preveni puncte </w:t>
      </w:r>
      <w:r w:rsidR="00181847">
        <w:rPr>
          <w:rFonts w:cstheme="minorHAnsi"/>
        </w:rPr>
        <w:t xml:space="preserve">unice </w:t>
      </w:r>
      <w:r w:rsidRPr="001E5D59">
        <w:rPr>
          <w:rFonts w:cstheme="minorHAnsi"/>
        </w:rPr>
        <w:t xml:space="preserve">de eșec, toate elementele sistemelor electrice, inclusiv sistemele de rezervă, sunt de obicei complet duplicate, iar serverele critice sunt conectate atât la alimentările de alimentare „partea A”, cât și „partea B”. Acest aranjament </w:t>
      </w:r>
      <w:proofErr w:type="gramStart"/>
      <w:r w:rsidRPr="001E5D59">
        <w:rPr>
          <w:rFonts w:cstheme="minorHAnsi"/>
        </w:rPr>
        <w:t>este</w:t>
      </w:r>
      <w:proofErr w:type="gramEnd"/>
      <w:r w:rsidRPr="001E5D59">
        <w:rPr>
          <w:rFonts w:cstheme="minorHAnsi"/>
        </w:rPr>
        <w:t xml:space="preserve"> adesea făcut pentru a obține redundanță N + 1 în sisteme. Întrerupătoarele de transfer static sunt uneori folosite pentru a asigura trecerea instantanee de la o sursă la </w:t>
      </w:r>
      <w:proofErr w:type="gramStart"/>
      <w:r w:rsidRPr="001E5D59">
        <w:rPr>
          <w:rFonts w:cstheme="minorHAnsi"/>
        </w:rPr>
        <w:t>alta</w:t>
      </w:r>
      <w:proofErr w:type="gramEnd"/>
      <w:r w:rsidRPr="001E5D59">
        <w:rPr>
          <w:rFonts w:cstheme="minorHAnsi"/>
        </w:rPr>
        <w:t xml:space="preserve"> în ca</w:t>
      </w:r>
      <w:r w:rsidR="00683A59">
        <w:rPr>
          <w:rFonts w:cstheme="minorHAnsi"/>
        </w:rPr>
        <w:t>z de întrerupere a alimentării.</w:t>
      </w:r>
    </w:p>
    <w:p w:rsidR="00683A59" w:rsidRPr="001E5D59" w:rsidRDefault="00683A59" w:rsidP="001E5D59">
      <w:pPr>
        <w:jc w:val="both"/>
        <w:rPr>
          <w:rFonts w:cstheme="minorHAnsi"/>
        </w:rPr>
      </w:pPr>
    </w:p>
    <w:p w:rsidR="001E5D59" w:rsidRPr="001E5D59" w:rsidRDefault="001E5D59" w:rsidP="001E5D59">
      <w:pPr>
        <w:jc w:val="both"/>
        <w:rPr>
          <w:rFonts w:cstheme="minorHAnsi"/>
        </w:rPr>
      </w:pPr>
      <w:r w:rsidRPr="00683A59">
        <w:rPr>
          <w:rFonts w:cstheme="minorHAnsi"/>
          <w:b/>
        </w:rPr>
        <w:t>Rutare cabluri de joasă tensiune</w:t>
      </w:r>
    </w:p>
    <w:p w:rsidR="001E5D59" w:rsidRPr="00FD71BF" w:rsidRDefault="001E5D59" w:rsidP="00FD71BF">
      <w:pPr>
        <w:pStyle w:val="ListParagraph"/>
        <w:numPr>
          <w:ilvl w:val="0"/>
          <w:numId w:val="8"/>
        </w:numPr>
        <w:jc w:val="both"/>
        <w:rPr>
          <w:rFonts w:cstheme="minorHAnsi"/>
        </w:rPr>
      </w:pPr>
      <w:r w:rsidRPr="00FD71BF">
        <w:rPr>
          <w:rFonts w:cstheme="minorHAnsi"/>
        </w:rPr>
        <w:t xml:space="preserve">Cablarea datelor poate fi direcționată prin tăvi de cablu </w:t>
      </w:r>
      <w:r w:rsidR="00FD71BF" w:rsidRPr="00FD71BF">
        <w:rPr>
          <w:rFonts w:cstheme="minorHAnsi"/>
        </w:rPr>
        <w:t xml:space="preserve">aeriene </w:t>
      </w:r>
    </w:p>
    <w:p w:rsidR="001E5D59" w:rsidRPr="00182AD0" w:rsidRDefault="001E5D59" w:rsidP="00182AD0">
      <w:pPr>
        <w:pStyle w:val="ListParagraph"/>
        <w:numPr>
          <w:ilvl w:val="0"/>
          <w:numId w:val="8"/>
        </w:numPr>
        <w:jc w:val="both"/>
        <w:rPr>
          <w:rFonts w:cstheme="minorHAnsi"/>
        </w:rPr>
      </w:pPr>
      <w:r w:rsidRPr="00182AD0">
        <w:rPr>
          <w:rFonts w:cstheme="minorHAnsi"/>
        </w:rPr>
        <w:t xml:space="preserve">Cablare ridicată a podelei, din motive de securitate și pentru </w:t>
      </w:r>
      <w:proofErr w:type="gramStart"/>
      <w:r w:rsidRPr="00182AD0">
        <w:rPr>
          <w:rFonts w:cstheme="minorHAnsi"/>
        </w:rPr>
        <w:t>a</w:t>
      </w:r>
      <w:proofErr w:type="gramEnd"/>
      <w:r w:rsidRPr="00182AD0">
        <w:rPr>
          <w:rFonts w:cstheme="minorHAnsi"/>
        </w:rPr>
        <w:t xml:space="preserve"> evita adăugarea de sisteme de răcire deasupra rafturilor.</w:t>
      </w:r>
    </w:p>
    <w:p w:rsidR="001E5D59" w:rsidRDefault="001E5D59" w:rsidP="00242C25">
      <w:pPr>
        <w:pStyle w:val="ListParagraph"/>
        <w:numPr>
          <w:ilvl w:val="0"/>
          <w:numId w:val="8"/>
        </w:numPr>
        <w:jc w:val="both"/>
        <w:rPr>
          <w:rFonts w:cstheme="minorHAnsi"/>
        </w:rPr>
      </w:pPr>
      <w:r w:rsidRPr="00242C25">
        <w:rPr>
          <w:rFonts w:cstheme="minorHAnsi"/>
        </w:rPr>
        <w:t>Centrele de date mai mici / mai puțin costisitoare, fără pardoseală ridicată, pot utiliza plăci antistatice pentru suprafața pardoselii.</w:t>
      </w:r>
    </w:p>
    <w:p w:rsidR="009B2A94" w:rsidRPr="009B2A94" w:rsidRDefault="009B2A94" w:rsidP="009B2A94">
      <w:pPr>
        <w:jc w:val="both"/>
        <w:rPr>
          <w:rFonts w:cstheme="minorHAnsi"/>
        </w:rPr>
      </w:pPr>
    </w:p>
    <w:p w:rsidR="009B2A94" w:rsidRPr="00D7754D" w:rsidRDefault="009B2A94" w:rsidP="009B2A94">
      <w:pPr>
        <w:jc w:val="both"/>
        <w:rPr>
          <w:rFonts w:cstheme="minorHAnsi"/>
          <w:b/>
        </w:rPr>
      </w:pPr>
      <w:r w:rsidRPr="00D7754D">
        <w:rPr>
          <w:rFonts w:cstheme="minorHAnsi"/>
          <w:b/>
        </w:rPr>
        <w:t>Protecție împotriva incendiilor</w:t>
      </w:r>
    </w:p>
    <w:p w:rsidR="009B2A94" w:rsidRPr="009B2A94" w:rsidRDefault="009B2A94" w:rsidP="009B2A94">
      <w:pPr>
        <w:jc w:val="both"/>
        <w:rPr>
          <w:rFonts w:cstheme="minorHAnsi"/>
        </w:rPr>
      </w:pPr>
      <w:r w:rsidRPr="009B2A94">
        <w:rPr>
          <w:rFonts w:cstheme="minorHAnsi"/>
        </w:rPr>
        <w:t xml:space="preserve">Centrele de date dispun de sisteme de protecție împotriva incendiilor, inclusiv elemente de proiectare pasivă și activă, precum și implementarea programelor de prevenire </w:t>
      </w:r>
      <w:proofErr w:type="gramStart"/>
      <w:r w:rsidRPr="009B2A94">
        <w:rPr>
          <w:rFonts w:cstheme="minorHAnsi"/>
        </w:rPr>
        <w:t>a</w:t>
      </w:r>
      <w:proofErr w:type="gramEnd"/>
      <w:r w:rsidRPr="009B2A94">
        <w:rPr>
          <w:rFonts w:cstheme="minorHAnsi"/>
        </w:rPr>
        <w:t xml:space="preserve"> incendiilor în operațiuni. Detectoarele de fum sunt de obicei instalate pentru a oferi avertizare timpurie cu privire la </w:t>
      </w:r>
      <w:proofErr w:type="gramStart"/>
      <w:r w:rsidRPr="009B2A94">
        <w:rPr>
          <w:rFonts w:cstheme="minorHAnsi"/>
        </w:rPr>
        <w:t>un</w:t>
      </w:r>
      <w:proofErr w:type="gramEnd"/>
      <w:r w:rsidR="00A7081D">
        <w:rPr>
          <w:rFonts w:cstheme="minorHAnsi"/>
        </w:rPr>
        <w:t xml:space="preserve"> incendiu în stadiul incipient.</w:t>
      </w:r>
    </w:p>
    <w:p w:rsidR="009B2A94" w:rsidRPr="009B2A94" w:rsidRDefault="009B2A94" w:rsidP="009B2A94">
      <w:pPr>
        <w:jc w:val="both"/>
        <w:rPr>
          <w:rFonts w:cstheme="minorHAnsi"/>
        </w:rPr>
      </w:pPr>
      <w:r w:rsidRPr="009B2A94">
        <w:rPr>
          <w:rFonts w:cstheme="minorHAnsi"/>
        </w:rPr>
        <w:t>Două opț</w:t>
      </w:r>
      <w:r w:rsidR="006D5B8A">
        <w:rPr>
          <w:rFonts w:cstheme="minorHAnsi"/>
        </w:rPr>
        <w:t xml:space="preserve">iuni pe bază de </w:t>
      </w:r>
      <w:proofErr w:type="gramStart"/>
      <w:r w:rsidR="006D5B8A">
        <w:rPr>
          <w:rFonts w:cstheme="minorHAnsi"/>
        </w:rPr>
        <w:t>apă</w:t>
      </w:r>
      <w:proofErr w:type="gramEnd"/>
      <w:r w:rsidR="006D5B8A">
        <w:rPr>
          <w:rFonts w:cstheme="minorHAnsi"/>
        </w:rPr>
        <w:t xml:space="preserve"> sunt: ​​</w:t>
      </w:r>
    </w:p>
    <w:p w:rsidR="009B2A94" w:rsidRPr="000A416B" w:rsidRDefault="000A416B" w:rsidP="000A416B">
      <w:pPr>
        <w:pStyle w:val="ListParagraph"/>
        <w:numPr>
          <w:ilvl w:val="0"/>
          <w:numId w:val="8"/>
        </w:numPr>
        <w:jc w:val="both"/>
        <w:rPr>
          <w:rFonts w:cstheme="minorHAnsi"/>
          <w:i/>
        </w:rPr>
      </w:pPr>
      <w:r w:rsidRPr="000A416B">
        <w:rPr>
          <w:rFonts w:cstheme="minorHAnsi"/>
          <w:i/>
        </w:rPr>
        <w:t>S</w:t>
      </w:r>
      <w:r w:rsidR="009B2A94" w:rsidRPr="000A416B">
        <w:rPr>
          <w:rFonts w:cstheme="minorHAnsi"/>
          <w:i/>
        </w:rPr>
        <w:t>tropitor</w:t>
      </w:r>
    </w:p>
    <w:p w:rsidR="009B2A94" w:rsidRPr="000A416B" w:rsidRDefault="00AE24B3" w:rsidP="000A416B">
      <w:pPr>
        <w:pStyle w:val="ListParagraph"/>
        <w:numPr>
          <w:ilvl w:val="0"/>
          <w:numId w:val="8"/>
        </w:numPr>
        <w:jc w:val="both"/>
        <w:rPr>
          <w:rFonts w:cstheme="minorHAnsi"/>
          <w:i/>
        </w:rPr>
      </w:pPr>
      <w:r w:rsidRPr="000A416B">
        <w:rPr>
          <w:rFonts w:cstheme="minorHAnsi"/>
          <w:i/>
        </w:rPr>
        <w:t>A</w:t>
      </w:r>
      <w:r w:rsidR="009B2A94" w:rsidRPr="000A416B">
        <w:rPr>
          <w:rFonts w:cstheme="minorHAnsi"/>
          <w:i/>
        </w:rPr>
        <w:t>buri</w:t>
      </w:r>
    </w:p>
    <w:p w:rsidR="009B2A94" w:rsidRPr="00AE24B3" w:rsidRDefault="009B2A94" w:rsidP="00AE24B3">
      <w:pPr>
        <w:pStyle w:val="ListParagraph"/>
        <w:numPr>
          <w:ilvl w:val="0"/>
          <w:numId w:val="8"/>
        </w:numPr>
        <w:jc w:val="both"/>
        <w:rPr>
          <w:rFonts w:cstheme="minorHAnsi"/>
        </w:rPr>
      </w:pPr>
      <w:r w:rsidRPr="00AE24B3">
        <w:rPr>
          <w:rFonts w:cstheme="minorHAnsi"/>
          <w:i/>
        </w:rPr>
        <w:t xml:space="preserve">Fără </w:t>
      </w:r>
      <w:proofErr w:type="gramStart"/>
      <w:r w:rsidRPr="00AE24B3">
        <w:rPr>
          <w:rFonts w:cstheme="minorHAnsi"/>
          <w:i/>
        </w:rPr>
        <w:t>apă</w:t>
      </w:r>
      <w:proofErr w:type="gramEnd"/>
      <w:r w:rsidRPr="00AE24B3">
        <w:rPr>
          <w:rFonts w:cstheme="minorHAnsi"/>
        </w:rPr>
        <w:t xml:space="preserve"> - unele dintre beneficiile utilizării supresiei chimice (agent de curățare a sistemului gazos de supresie a incendiilor).</w:t>
      </w:r>
    </w:p>
    <w:p w:rsidR="000658A9" w:rsidRDefault="000658A9" w:rsidP="009B2A94">
      <w:pPr>
        <w:jc w:val="both"/>
        <w:rPr>
          <w:rFonts w:cstheme="minorHAnsi"/>
        </w:rPr>
      </w:pPr>
    </w:p>
    <w:p w:rsidR="009B2A94" w:rsidRPr="009B2A94" w:rsidRDefault="009B2A94" w:rsidP="00665725">
      <w:pPr>
        <w:jc w:val="both"/>
        <w:rPr>
          <w:rFonts w:cstheme="minorHAnsi"/>
        </w:rPr>
      </w:pPr>
      <w:r w:rsidRPr="000658A9">
        <w:rPr>
          <w:rFonts w:cstheme="minorHAnsi"/>
          <w:b/>
        </w:rPr>
        <w:t>Securitate</w:t>
      </w:r>
    </w:p>
    <w:p w:rsidR="009B2A94" w:rsidRPr="009B2A94" w:rsidRDefault="009B2A94" w:rsidP="009B2A94">
      <w:pPr>
        <w:jc w:val="both"/>
        <w:rPr>
          <w:rFonts w:cstheme="minorHAnsi"/>
        </w:rPr>
      </w:pPr>
      <w:r w:rsidRPr="009B2A94">
        <w:rPr>
          <w:rFonts w:cstheme="minorHAnsi"/>
        </w:rPr>
        <w:t xml:space="preserve">Accesul fizic </w:t>
      </w:r>
      <w:proofErr w:type="gramStart"/>
      <w:r w:rsidRPr="009B2A94">
        <w:rPr>
          <w:rFonts w:cstheme="minorHAnsi"/>
        </w:rPr>
        <w:t>este</w:t>
      </w:r>
      <w:proofErr w:type="gramEnd"/>
      <w:r w:rsidRPr="009B2A94">
        <w:rPr>
          <w:rFonts w:cstheme="minorHAnsi"/>
        </w:rPr>
        <w:t xml:space="preserve"> de obicei restricționat. Securitatea </w:t>
      </w:r>
      <w:r w:rsidR="005E459A">
        <w:rPr>
          <w:rFonts w:cstheme="minorHAnsi"/>
        </w:rPr>
        <w:t>pe nivele</w:t>
      </w:r>
      <w:r w:rsidRPr="009B2A94">
        <w:rPr>
          <w:rFonts w:cstheme="minorHAnsi"/>
        </w:rPr>
        <w:t xml:space="preserve"> începe adesea cu ga</w:t>
      </w:r>
      <w:r w:rsidR="00665725">
        <w:rPr>
          <w:rFonts w:cstheme="minorHAnsi"/>
        </w:rPr>
        <w:t xml:space="preserve">rduri, coloane și mantre. </w:t>
      </w:r>
      <w:r w:rsidRPr="009B2A94">
        <w:rPr>
          <w:rFonts w:cstheme="minorHAnsi"/>
        </w:rPr>
        <w:t xml:space="preserve">Supravegherea camerei video și paznicii permanenți sunt aproape întotdeauna prezenți dacă centrul de date </w:t>
      </w:r>
      <w:proofErr w:type="gramStart"/>
      <w:r w:rsidRPr="009B2A94">
        <w:rPr>
          <w:rFonts w:cstheme="minorHAnsi"/>
        </w:rPr>
        <w:t>este</w:t>
      </w:r>
      <w:proofErr w:type="gramEnd"/>
      <w:r w:rsidRPr="009B2A94">
        <w:rPr>
          <w:rFonts w:cstheme="minorHAnsi"/>
        </w:rPr>
        <w:t xml:space="preserve"> mare sau conține informații sensibile. </w:t>
      </w:r>
      <w:r w:rsidR="00D40CE8">
        <w:rPr>
          <w:rFonts w:cstheme="minorHAnsi"/>
        </w:rPr>
        <w:t>R</w:t>
      </w:r>
      <w:r w:rsidRPr="009B2A94">
        <w:rPr>
          <w:rFonts w:cstheme="minorHAnsi"/>
        </w:rPr>
        <w:t>ecunoaștere a a</w:t>
      </w:r>
      <w:r w:rsidR="00642D18">
        <w:rPr>
          <w:rFonts w:cstheme="minorHAnsi"/>
        </w:rPr>
        <w:t xml:space="preserve">mprentelor digitale încep </w:t>
      </w:r>
      <w:proofErr w:type="gramStart"/>
      <w:r w:rsidR="00642D18">
        <w:rPr>
          <w:rFonts w:cstheme="minorHAnsi"/>
        </w:rPr>
        <w:t>să</w:t>
      </w:r>
      <w:proofErr w:type="gramEnd"/>
      <w:r w:rsidR="00642D18">
        <w:rPr>
          <w:rFonts w:cstheme="minorHAnsi"/>
        </w:rPr>
        <w:t xml:space="preserve"> folosite pe larg</w:t>
      </w:r>
      <w:r w:rsidR="00610EE4">
        <w:rPr>
          <w:rFonts w:cstheme="minorHAnsi"/>
        </w:rPr>
        <w:t>.</w:t>
      </w:r>
    </w:p>
    <w:p w:rsidR="009B2A94" w:rsidRPr="009B2A94" w:rsidRDefault="009B2A94" w:rsidP="009B2A94">
      <w:pPr>
        <w:jc w:val="both"/>
        <w:rPr>
          <w:rFonts w:cstheme="minorHAnsi"/>
        </w:rPr>
      </w:pPr>
      <w:r w:rsidRPr="009B2A94">
        <w:rPr>
          <w:rFonts w:cstheme="minorHAnsi"/>
        </w:rPr>
        <w:t xml:space="preserve">Accesul la </w:t>
      </w:r>
      <w:r w:rsidR="00250A57">
        <w:rPr>
          <w:rFonts w:cstheme="minorHAnsi"/>
        </w:rPr>
        <w:t>logare</w:t>
      </w:r>
      <w:r w:rsidRPr="009B2A94">
        <w:rPr>
          <w:rFonts w:cstheme="minorHAnsi"/>
        </w:rPr>
        <w:t xml:space="preserve"> </w:t>
      </w:r>
      <w:proofErr w:type="gramStart"/>
      <w:r w:rsidRPr="009B2A94">
        <w:rPr>
          <w:rFonts w:cstheme="minorHAnsi"/>
        </w:rPr>
        <w:t>este</w:t>
      </w:r>
      <w:proofErr w:type="gramEnd"/>
      <w:r w:rsidRPr="009B2A94">
        <w:rPr>
          <w:rFonts w:cstheme="minorHAnsi"/>
        </w:rPr>
        <w:t xml:space="preserve"> cerut de unele reglementări </w:t>
      </w:r>
      <w:r w:rsidR="006108E6">
        <w:rPr>
          <w:rFonts w:cstheme="minorHAnsi"/>
        </w:rPr>
        <w:t>ce privesc</w:t>
      </w:r>
      <w:r w:rsidR="00BC215E">
        <w:rPr>
          <w:rFonts w:cstheme="minorHAnsi"/>
        </w:rPr>
        <w:t xml:space="preserve"> protecția datelor,</w:t>
      </w:r>
      <w:bookmarkStart w:id="0" w:name="_GoBack"/>
      <w:bookmarkEnd w:id="0"/>
      <w:r w:rsidRPr="009B2A94">
        <w:rPr>
          <w:rFonts w:cstheme="minorHAnsi"/>
        </w:rPr>
        <w:t xml:space="preserve"> unele organizații leagă strâns acest lucru de sistemele de control al accesului. Mai multe intrări de jurnal pot apărea la intrarea principală, la intrările în încăperile interioare și la dulapurile echipamentelor. Controlul accesului la dulapuri poate fi integrat cu unități inteligente de distribuție a energiei, astfel încât încuietorile </w:t>
      </w:r>
      <w:proofErr w:type="gramStart"/>
      <w:r w:rsidRPr="009B2A94">
        <w:rPr>
          <w:rFonts w:cstheme="minorHAnsi"/>
        </w:rPr>
        <w:t>să</w:t>
      </w:r>
      <w:proofErr w:type="gramEnd"/>
      <w:r w:rsidRPr="009B2A94">
        <w:rPr>
          <w:rFonts w:cstheme="minorHAnsi"/>
        </w:rPr>
        <w:t xml:space="preserve"> fie conectate în</w:t>
      </w:r>
      <w:r w:rsidR="00610EE4">
        <w:rPr>
          <w:rFonts w:cstheme="minorHAnsi"/>
        </w:rPr>
        <w:t xml:space="preserve"> rețea prin același aparat.</w:t>
      </w:r>
    </w:p>
    <w:sectPr w:rsidR="009B2A94" w:rsidRPr="009B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C7E59"/>
    <w:multiLevelType w:val="hybridMultilevel"/>
    <w:tmpl w:val="FEF4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A0EEA"/>
    <w:multiLevelType w:val="hybridMultilevel"/>
    <w:tmpl w:val="2A4AAC1E"/>
    <w:lvl w:ilvl="0" w:tplc="8DC8CA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B484F"/>
    <w:multiLevelType w:val="hybridMultilevel"/>
    <w:tmpl w:val="62C6B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A0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EC4437"/>
    <w:multiLevelType w:val="hybridMultilevel"/>
    <w:tmpl w:val="77961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367405"/>
    <w:multiLevelType w:val="hybridMultilevel"/>
    <w:tmpl w:val="78AE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7151A"/>
    <w:multiLevelType w:val="hybridMultilevel"/>
    <w:tmpl w:val="99EA5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4672D9"/>
    <w:multiLevelType w:val="hybridMultilevel"/>
    <w:tmpl w:val="CA14F2A0"/>
    <w:lvl w:ilvl="0" w:tplc="D16255BE">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DC"/>
    <w:rsid w:val="00005E35"/>
    <w:rsid w:val="00007D01"/>
    <w:rsid w:val="000140AB"/>
    <w:rsid w:val="00025A91"/>
    <w:rsid w:val="00034450"/>
    <w:rsid w:val="000430F2"/>
    <w:rsid w:val="00050C2B"/>
    <w:rsid w:val="00054310"/>
    <w:rsid w:val="000658A9"/>
    <w:rsid w:val="00070E93"/>
    <w:rsid w:val="00094A96"/>
    <w:rsid w:val="000A1118"/>
    <w:rsid w:val="000A3C55"/>
    <w:rsid w:val="000A416B"/>
    <w:rsid w:val="000B05DC"/>
    <w:rsid w:val="000F2489"/>
    <w:rsid w:val="0012301C"/>
    <w:rsid w:val="00124B40"/>
    <w:rsid w:val="0014189E"/>
    <w:rsid w:val="00164573"/>
    <w:rsid w:val="00181847"/>
    <w:rsid w:val="00182AD0"/>
    <w:rsid w:val="001A2C2F"/>
    <w:rsid w:val="001B366B"/>
    <w:rsid w:val="001E5D59"/>
    <w:rsid w:val="001F27CD"/>
    <w:rsid w:val="00203A60"/>
    <w:rsid w:val="00215F6F"/>
    <w:rsid w:val="00236F95"/>
    <w:rsid w:val="00242C25"/>
    <w:rsid w:val="00250A57"/>
    <w:rsid w:val="00250F01"/>
    <w:rsid w:val="00260883"/>
    <w:rsid w:val="0026322D"/>
    <w:rsid w:val="002A1DFD"/>
    <w:rsid w:val="002A50B5"/>
    <w:rsid w:val="002A50EA"/>
    <w:rsid w:val="002A7E51"/>
    <w:rsid w:val="002B0B37"/>
    <w:rsid w:val="002B55D1"/>
    <w:rsid w:val="002C0DD0"/>
    <w:rsid w:val="002C4E10"/>
    <w:rsid w:val="00304DEF"/>
    <w:rsid w:val="00307773"/>
    <w:rsid w:val="00350A1E"/>
    <w:rsid w:val="00352AC1"/>
    <w:rsid w:val="003659D8"/>
    <w:rsid w:val="00390709"/>
    <w:rsid w:val="003B4CC4"/>
    <w:rsid w:val="003C7363"/>
    <w:rsid w:val="003F4B39"/>
    <w:rsid w:val="003F6D2F"/>
    <w:rsid w:val="004064D9"/>
    <w:rsid w:val="00414DE0"/>
    <w:rsid w:val="004179B6"/>
    <w:rsid w:val="00422F1E"/>
    <w:rsid w:val="00424487"/>
    <w:rsid w:val="00424F92"/>
    <w:rsid w:val="004315C6"/>
    <w:rsid w:val="0046476C"/>
    <w:rsid w:val="004E7410"/>
    <w:rsid w:val="004F37E5"/>
    <w:rsid w:val="00501B94"/>
    <w:rsid w:val="00516633"/>
    <w:rsid w:val="00522E76"/>
    <w:rsid w:val="00546994"/>
    <w:rsid w:val="00565B2A"/>
    <w:rsid w:val="00570484"/>
    <w:rsid w:val="0059069E"/>
    <w:rsid w:val="005966BA"/>
    <w:rsid w:val="005A5B56"/>
    <w:rsid w:val="005E459A"/>
    <w:rsid w:val="005F4863"/>
    <w:rsid w:val="006108E6"/>
    <w:rsid w:val="00610EE4"/>
    <w:rsid w:val="00623A3D"/>
    <w:rsid w:val="00642D18"/>
    <w:rsid w:val="0064447E"/>
    <w:rsid w:val="00664DAF"/>
    <w:rsid w:val="00665725"/>
    <w:rsid w:val="00683A59"/>
    <w:rsid w:val="00684FE1"/>
    <w:rsid w:val="006B2D33"/>
    <w:rsid w:val="006B63DC"/>
    <w:rsid w:val="006B7D40"/>
    <w:rsid w:val="006D3A46"/>
    <w:rsid w:val="006D5B8A"/>
    <w:rsid w:val="006F24F1"/>
    <w:rsid w:val="0073287B"/>
    <w:rsid w:val="00780376"/>
    <w:rsid w:val="00796B8C"/>
    <w:rsid w:val="007D5A2E"/>
    <w:rsid w:val="008131A0"/>
    <w:rsid w:val="008506BE"/>
    <w:rsid w:val="00882662"/>
    <w:rsid w:val="00896B9D"/>
    <w:rsid w:val="008A2F50"/>
    <w:rsid w:val="008D2C5A"/>
    <w:rsid w:val="008E5D75"/>
    <w:rsid w:val="008F0F1E"/>
    <w:rsid w:val="008F78B6"/>
    <w:rsid w:val="0091088F"/>
    <w:rsid w:val="00916F6F"/>
    <w:rsid w:val="00923752"/>
    <w:rsid w:val="00924B84"/>
    <w:rsid w:val="00935CD8"/>
    <w:rsid w:val="00952329"/>
    <w:rsid w:val="00961DE0"/>
    <w:rsid w:val="00975606"/>
    <w:rsid w:val="009848D0"/>
    <w:rsid w:val="009A7E2A"/>
    <w:rsid w:val="009B2A94"/>
    <w:rsid w:val="009D1F15"/>
    <w:rsid w:val="009E29C8"/>
    <w:rsid w:val="009E35BF"/>
    <w:rsid w:val="00A103DE"/>
    <w:rsid w:val="00A108D0"/>
    <w:rsid w:val="00A10D6C"/>
    <w:rsid w:val="00A25974"/>
    <w:rsid w:val="00A460FF"/>
    <w:rsid w:val="00A56EB9"/>
    <w:rsid w:val="00A7081D"/>
    <w:rsid w:val="00AB4F51"/>
    <w:rsid w:val="00AC70DC"/>
    <w:rsid w:val="00AD7DE0"/>
    <w:rsid w:val="00AE1BC5"/>
    <w:rsid w:val="00AE24B3"/>
    <w:rsid w:val="00AE2DFA"/>
    <w:rsid w:val="00AF2530"/>
    <w:rsid w:val="00AF4E72"/>
    <w:rsid w:val="00B0433E"/>
    <w:rsid w:val="00B10391"/>
    <w:rsid w:val="00B36929"/>
    <w:rsid w:val="00B42268"/>
    <w:rsid w:val="00B43D89"/>
    <w:rsid w:val="00B43E9A"/>
    <w:rsid w:val="00B55A70"/>
    <w:rsid w:val="00B71D4E"/>
    <w:rsid w:val="00B74BA2"/>
    <w:rsid w:val="00BA398D"/>
    <w:rsid w:val="00BC215E"/>
    <w:rsid w:val="00BD4D38"/>
    <w:rsid w:val="00C06529"/>
    <w:rsid w:val="00C25BEE"/>
    <w:rsid w:val="00C271D6"/>
    <w:rsid w:val="00C453DF"/>
    <w:rsid w:val="00C668D1"/>
    <w:rsid w:val="00C80C19"/>
    <w:rsid w:val="00CA5B50"/>
    <w:rsid w:val="00CB73CC"/>
    <w:rsid w:val="00CD3937"/>
    <w:rsid w:val="00CE0141"/>
    <w:rsid w:val="00CE7BE6"/>
    <w:rsid w:val="00D12B62"/>
    <w:rsid w:val="00D141DB"/>
    <w:rsid w:val="00D40CE8"/>
    <w:rsid w:val="00D44B92"/>
    <w:rsid w:val="00D63135"/>
    <w:rsid w:val="00D71061"/>
    <w:rsid w:val="00D7754D"/>
    <w:rsid w:val="00D81E64"/>
    <w:rsid w:val="00D926FC"/>
    <w:rsid w:val="00DA390C"/>
    <w:rsid w:val="00DD41C6"/>
    <w:rsid w:val="00DF3936"/>
    <w:rsid w:val="00DF7E96"/>
    <w:rsid w:val="00E05CD7"/>
    <w:rsid w:val="00E21994"/>
    <w:rsid w:val="00E8169F"/>
    <w:rsid w:val="00E92DC4"/>
    <w:rsid w:val="00E93B08"/>
    <w:rsid w:val="00EA6001"/>
    <w:rsid w:val="00EC55E3"/>
    <w:rsid w:val="00EC647F"/>
    <w:rsid w:val="00ED193A"/>
    <w:rsid w:val="00ED39DE"/>
    <w:rsid w:val="00F24EBB"/>
    <w:rsid w:val="00F25C3E"/>
    <w:rsid w:val="00F74587"/>
    <w:rsid w:val="00F920C9"/>
    <w:rsid w:val="00F934F7"/>
    <w:rsid w:val="00F94CA7"/>
    <w:rsid w:val="00FA5028"/>
    <w:rsid w:val="00FB2D9D"/>
    <w:rsid w:val="00FB5FDC"/>
    <w:rsid w:val="00FD71BF"/>
    <w:rsid w:val="00FE3573"/>
    <w:rsid w:val="00FE3884"/>
    <w:rsid w:val="00FE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16058-3952-4631-AAE8-80352692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7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40AB"/>
    <w:rPr>
      <w:b/>
      <w:bCs/>
    </w:rPr>
  </w:style>
  <w:style w:type="paragraph" w:styleId="ListParagraph">
    <w:name w:val="List Paragraph"/>
    <w:basedOn w:val="Normal"/>
    <w:uiPriority w:val="34"/>
    <w:qFormat/>
    <w:rsid w:val="000140AB"/>
    <w:pPr>
      <w:ind w:left="720"/>
      <w:contextualSpacing/>
    </w:pPr>
  </w:style>
  <w:style w:type="character" w:customStyle="1" w:styleId="Heading3Char">
    <w:name w:val="Heading 3 Char"/>
    <w:basedOn w:val="DefaultParagraphFont"/>
    <w:link w:val="Heading3"/>
    <w:uiPriority w:val="9"/>
    <w:rsid w:val="00FE78B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2467">
      <w:bodyDiv w:val="1"/>
      <w:marLeft w:val="0"/>
      <w:marRight w:val="0"/>
      <w:marTop w:val="0"/>
      <w:marBottom w:val="0"/>
      <w:divBdr>
        <w:top w:val="none" w:sz="0" w:space="0" w:color="auto"/>
        <w:left w:val="none" w:sz="0" w:space="0" w:color="auto"/>
        <w:bottom w:val="none" w:sz="0" w:space="0" w:color="auto"/>
        <w:right w:val="none" w:sz="0" w:space="0" w:color="auto"/>
      </w:divBdr>
    </w:div>
    <w:div w:id="81679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236</cp:revision>
  <dcterms:created xsi:type="dcterms:W3CDTF">2020-09-15T13:59:00Z</dcterms:created>
  <dcterms:modified xsi:type="dcterms:W3CDTF">2020-12-10T18:43:00Z</dcterms:modified>
</cp:coreProperties>
</file>