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B84633" w:rsidRDefault="00431F5B"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24377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2437765"/>
                    </a:xfrm>
                    <a:prstGeom prst="rect">
                      <a:avLst/>
                    </a:prstGeom>
                  </pic:spPr>
                </pic:pic>
              </a:graphicData>
            </a:graphic>
          </wp:inline>
        </w:drawing>
      </w:r>
    </w:p>
    <w:p w:rsidR="00AD71FB"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machine that learns inappropriate expressions and recognize it. The process of training will be retrieval of training data.</w:t>
      </w:r>
      <w:r w:rsidR="00755541">
        <w:rPr>
          <w:rFonts w:ascii="Times New Roman" w:hAnsi="Times New Roman" w:cs="Times New Roman"/>
          <w:sz w:val="24"/>
          <w:szCs w:val="24"/>
          <w:shd w:val="clear" w:color="auto" w:fill="FFFFFF"/>
        </w:rPr>
        <w:t xml:space="preserve"> </w:t>
      </w:r>
      <w:r w:rsidR="00483887">
        <w:rPr>
          <w:rFonts w:ascii="Times New Roman" w:hAnsi="Times New Roman" w:cs="Times New Roman"/>
          <w:sz w:val="24"/>
          <w:szCs w:val="24"/>
          <w:shd w:val="clear" w:color="auto" w:fill="FFFFFF"/>
        </w:rPr>
        <w:t>There will be an inappropriateness fitness test to test if the word is inappropriate. When the sampled word contains an inappropriate sense, the features</w:t>
      </w:r>
      <w:r w:rsidR="00027080">
        <w:rPr>
          <w:rFonts w:ascii="Times New Roman" w:hAnsi="Times New Roman" w:cs="Times New Roman"/>
          <w:sz w:val="24"/>
          <w:szCs w:val="24"/>
          <w:shd w:val="clear" w:color="auto" w:fill="FFFFFF"/>
        </w:rPr>
        <w:t xml:space="preserve"> will be pushed to the inappropriate expressions feature collection. Then, the </w:t>
      </w:r>
      <w:proofErr w:type="spellStart"/>
      <w:r w:rsidR="00027080">
        <w:rPr>
          <w:rFonts w:ascii="Times New Roman" w:hAnsi="Times New Roman" w:cs="Times New Roman"/>
          <w:sz w:val="24"/>
          <w:szCs w:val="24"/>
          <w:shd w:val="clear" w:color="auto" w:fill="FFFFFF"/>
        </w:rPr>
        <w:t>synsets</w:t>
      </w:r>
      <w:proofErr w:type="spellEnd"/>
      <w:r w:rsidR="00027080">
        <w:rPr>
          <w:rFonts w:ascii="Times New Roman" w:hAnsi="Times New Roman" w:cs="Times New Roman"/>
          <w:sz w:val="24"/>
          <w:szCs w:val="24"/>
          <w:shd w:val="clear" w:color="auto" w:fill="FFFFFF"/>
        </w:rPr>
        <w:t xml:space="preserve"> of the sampled inappropriate word will be sampled as training data again. The process of the recognition of inappropriate expression </w:t>
      </w:r>
      <w:r w:rsidR="00A50A76">
        <w:rPr>
          <w:rFonts w:ascii="Times New Roman" w:hAnsi="Times New Roman" w:cs="Times New Roman"/>
          <w:sz w:val="24"/>
          <w:szCs w:val="24"/>
          <w:shd w:val="clear" w:color="auto" w:fill="FFFFFF"/>
        </w:rPr>
        <w:t>will be by finding the candida</w:t>
      </w:r>
      <w:r w:rsidR="00765F84">
        <w:rPr>
          <w:rFonts w:ascii="Times New Roman" w:hAnsi="Times New Roman" w:cs="Times New Roman"/>
          <w:sz w:val="24"/>
          <w:szCs w:val="24"/>
          <w:shd w:val="clear" w:color="auto" w:fill="FFFFFF"/>
        </w:rPr>
        <w:t>te inappropriate expressions which is based on the features of the inappropriate expressions against the inappropriate expressions feature collection.</w:t>
      </w:r>
      <w:r w:rsidR="004C2AD3">
        <w:rPr>
          <w:rFonts w:ascii="Times New Roman" w:hAnsi="Times New Roman" w:cs="Times New Roman"/>
          <w:sz w:val="24"/>
          <w:szCs w:val="24"/>
          <w:shd w:val="clear" w:color="auto" w:fill="FFFFFF"/>
        </w:rPr>
        <w:t xml:space="preserve"> When there is a can</w:t>
      </w:r>
      <w:r w:rsidR="00431F5B">
        <w:rPr>
          <w:rFonts w:ascii="Times New Roman" w:hAnsi="Times New Roman" w:cs="Times New Roman"/>
          <w:sz w:val="24"/>
          <w:szCs w:val="24"/>
          <w:shd w:val="clear" w:color="auto" w:fill="FFFFFF"/>
        </w:rPr>
        <w:t>didate inappropriate expression, the usage of the expression and the polarity of the sentence is evaluated. Then, there will be an output of recognized inappropriate expressions.</w:t>
      </w:r>
    </w:p>
    <w:p w:rsidR="00506138" w:rsidRDefault="00506138" w:rsidP="008208D1">
      <w:pPr>
        <w:spacing w:after="0" w:line="480" w:lineRule="auto"/>
        <w:jc w:val="both"/>
        <w:rPr>
          <w:rFonts w:ascii="Times New Roman" w:hAnsi="Times New Roman" w:cs="Times New Roman"/>
          <w:sz w:val="24"/>
          <w:szCs w:val="24"/>
          <w:shd w:val="clear" w:color="auto" w:fill="FFFFFF"/>
        </w:rPr>
      </w:pPr>
    </w:p>
    <w:p w:rsidR="00506138" w:rsidRPr="001E74BC" w:rsidRDefault="00506138" w:rsidP="008208D1">
      <w:pPr>
        <w:spacing w:after="0" w:line="480" w:lineRule="auto"/>
        <w:jc w:val="both"/>
        <w:rPr>
          <w:rFonts w:ascii="Times New Roman" w:hAnsi="Times New Roman" w:cs="Times New Roman"/>
          <w:sz w:val="24"/>
          <w:szCs w:val="24"/>
          <w:shd w:val="clear" w:color="auto" w:fill="FFFFFF"/>
        </w:rPr>
      </w:pP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E05C16" w:rsidRPr="00A97CEB" w:rsidRDefault="00E05C16" w:rsidP="00FD5876">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605C30" w:rsidRDefault="00605C30" w:rsidP="008208D1">
      <w:pPr>
        <w:spacing w:line="480" w:lineRule="auto"/>
        <w:rPr>
          <w:rFonts w:ascii="Times New Roman" w:hAnsi="Times New Roman" w:cs="Times New Roman"/>
          <w:b/>
          <w:sz w:val="24"/>
          <w:szCs w:val="24"/>
        </w:rPr>
      </w:pP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w:t>
      </w:r>
      <w:proofErr w:type="gramStart"/>
      <w:r w:rsidR="007123D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w:t>
      </w:r>
      <w:proofErr w:type="gramEnd"/>
    </w:p>
    <w:p w:rsidR="00517A6D" w:rsidRPr="00A97CEB" w:rsidRDefault="00517A6D" w:rsidP="00517A6D">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A97CEB">
        <w:rPr>
          <w:rFonts w:ascii="Times New Roman" w:hAnsi="Times New Roman" w:cs="Times New Roman"/>
          <w:sz w:val="24"/>
          <w:szCs w:val="24"/>
          <w:shd w:val="clear" w:color="auto" w:fill="FFFFFF"/>
        </w:rPr>
        <w:t>. Accuracy</w:t>
      </w:r>
    </w:p>
    <w:p w:rsidR="00517A6D" w:rsidRPr="00A97CEB" w:rsidRDefault="00517A6D" w:rsidP="00517A6D">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A97CEB">
        <w:rPr>
          <w:rFonts w:ascii="Times New Roman" w:hAnsi="Times New Roman" w:cs="Times New Roman"/>
          <w:sz w:val="24"/>
          <w:szCs w:val="24"/>
          <w:shd w:val="clear" w:color="auto" w:fill="FFFFFF"/>
        </w:rPr>
        <w:t>. Specificity</w:t>
      </w:r>
    </w:p>
    <w:p w:rsidR="00517A6D" w:rsidRPr="00A97CEB" w:rsidRDefault="00517A6D" w:rsidP="00517A6D">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Pr="00A97CEB">
        <w:rPr>
          <w:rFonts w:ascii="Times New Roman" w:hAnsi="Times New Roman" w:cs="Times New Roman"/>
          <w:sz w:val="24"/>
          <w:szCs w:val="24"/>
          <w:shd w:val="clear" w:color="auto" w:fill="FFFFFF"/>
        </w:rPr>
        <w:t>. Harmonic Mean</w:t>
      </w:r>
    </w:p>
    <w:p w:rsidR="00316D71"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w:t>
      </w:r>
      <w:proofErr w:type="gramStart"/>
      <w:r w:rsidR="007123DD">
        <w:rPr>
          <w:rFonts w:ascii="Times New Roman" w:hAnsi="Times New Roman" w:cs="Times New Roman"/>
          <w:sz w:val="24"/>
          <w:szCs w:val="24"/>
          <w:shd w:val="clear" w:color="auto" w:fill="FFFFFF"/>
        </w:rPr>
        <w:t>of</w:t>
      </w:r>
      <w:r w:rsidR="00A50A76">
        <w:rPr>
          <w:rFonts w:ascii="Times New Roman" w:hAnsi="Times New Roman" w:cs="Times New Roman"/>
          <w:sz w:val="24"/>
          <w:szCs w:val="24"/>
          <w:shd w:val="clear" w:color="auto" w:fill="FFFFFF"/>
        </w:rPr>
        <w:t>:</w:t>
      </w:r>
      <w:proofErr w:type="gramEnd"/>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00316D71" w:rsidRPr="00A97CEB">
        <w:rPr>
          <w:rFonts w:ascii="Times New Roman" w:hAnsi="Times New Roman" w:cs="Times New Roman"/>
          <w:sz w:val="24"/>
          <w:szCs w:val="24"/>
          <w:shd w:val="clear" w:color="auto" w:fill="FFFFFF"/>
        </w:rPr>
        <w:t>. Accuracy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316D71" w:rsidRPr="00A97CEB">
        <w:rPr>
          <w:rFonts w:ascii="Times New Roman" w:hAnsi="Times New Roman" w:cs="Times New Roman"/>
          <w:sz w:val="24"/>
          <w:szCs w:val="24"/>
          <w:shd w:val="clear" w:color="auto" w:fill="FFFFFF"/>
        </w:rPr>
        <w:t>. Specificity</w:t>
      </w:r>
    </w:p>
    <w:p w:rsidR="00316D71" w:rsidRPr="00A97CEB" w:rsidRDefault="00DB1067" w:rsidP="00DB1067">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316D71" w:rsidRPr="00A97CEB">
        <w:rPr>
          <w:rFonts w:ascii="Times New Roman" w:hAnsi="Times New Roman" w:cs="Times New Roman"/>
          <w:sz w:val="24"/>
          <w:szCs w:val="24"/>
          <w:shd w:val="clear" w:color="auto" w:fill="FFFFFF"/>
        </w:rPr>
        <w:t>. Harmonic Mean</w:t>
      </w: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7123DD" w:rsidRDefault="007123DD" w:rsidP="00006BFE">
      <w:pPr>
        <w:spacing w:after="0" w:line="480" w:lineRule="auto"/>
        <w:jc w:val="both"/>
        <w:rPr>
          <w:rFonts w:ascii="Times New Roman" w:hAnsi="Times New Roman" w:cs="Times New Roman"/>
          <w:b/>
          <w:sz w:val="24"/>
          <w:szCs w:val="24"/>
          <w:shd w:val="clear" w:color="auto" w:fill="FFFFFF"/>
        </w:rPr>
      </w:pPr>
    </w:p>
    <w:p w:rsidR="00D31D39" w:rsidRDefault="00D31D39" w:rsidP="00006BFE">
      <w:pPr>
        <w:spacing w:after="0" w:line="480" w:lineRule="auto"/>
        <w:jc w:val="both"/>
        <w:rPr>
          <w:rFonts w:ascii="Times New Roman" w:hAnsi="Times New Roman" w:cs="Times New Roman"/>
          <w:b/>
          <w:sz w:val="24"/>
          <w:szCs w:val="24"/>
          <w:shd w:val="clear" w:color="auto" w:fill="FFFFFF"/>
        </w:rPr>
      </w:pP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bookmarkStart w:id="0" w:name="_GoBack"/>
      <w:bookmarkEnd w:id="0"/>
      <w:r w:rsidRPr="00A97CEB">
        <w:rPr>
          <w:rFonts w:ascii="Times New Roman" w:hAnsi="Times New Roman" w:cs="Times New Roman"/>
          <w:b/>
          <w:sz w:val="24"/>
          <w:szCs w:val="24"/>
          <w:shd w:val="clear" w:color="auto" w:fill="FFFFFF"/>
        </w:rPr>
        <w:lastRenderedPageBreak/>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DC550A" w:rsidRDefault="00C85B63"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7123DD" w:rsidRDefault="007123DD" w:rsidP="007123DD">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7123DD" w:rsidRPr="00C85B63" w:rsidRDefault="007123DD" w:rsidP="007123DD">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7123DD" w:rsidRDefault="007123DD" w:rsidP="007123DD">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7123DD" w:rsidRPr="007123DD" w:rsidRDefault="007123DD" w:rsidP="007123DD">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C85B63" w:rsidRDefault="007123DD" w:rsidP="00D321F1">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C85B63" w:rsidRP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sidRPr="00C85B63">
        <w:rPr>
          <w:rFonts w:ascii="Times New Roman" w:hAnsi="Times New Roman" w:cs="Times New Roman"/>
          <w:sz w:val="24"/>
          <w:szCs w:val="24"/>
          <w:shd w:val="clear" w:color="auto" w:fill="FFFFFF"/>
        </w:rPr>
        <w:t>Accuracy</w:t>
      </w:r>
    </w:p>
    <w:p w:rsidR="00C85B63" w:rsidRDefault="00C85B63" w:rsidP="00C85B63">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Specificity</w:t>
      </w:r>
    </w:p>
    <w:p w:rsidR="00605C30" w:rsidRPr="007123DD" w:rsidRDefault="00C85B63" w:rsidP="00605C30">
      <w:pPr>
        <w:pStyle w:val="ListParagraph"/>
        <w:numPr>
          <w:ilvl w:val="0"/>
          <w:numId w:val="5"/>
        </w:num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Harmonic Mean</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D073A5" w:rsidRPr="00A97CEB" w:rsidRDefault="003042B1" w:rsidP="00605C3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1E74BC" w:rsidRDefault="00D321F1" w:rsidP="001E74BC">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lastRenderedPageBreak/>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1E74BC" w:rsidRPr="001E74BC" w:rsidRDefault="001E74BC" w:rsidP="001E74B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 like News Editorial board Staff, Social Science Experts, and Linguists.</w:t>
      </w:r>
      <w:r>
        <w:rPr>
          <w:rFonts w:ascii="Times New Roman" w:hAnsi="Times New Roman" w:cs="Times New Roman"/>
          <w:b/>
          <w:color w:val="FF0000"/>
          <w:sz w:val="24"/>
          <w:szCs w:val="24"/>
        </w:rPr>
        <w:tab/>
      </w: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lastRenderedPageBreak/>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506138" w:rsidRDefault="00506138" w:rsidP="002159AC">
      <w:pPr>
        <w:spacing w:line="480" w:lineRule="auto"/>
        <w:rPr>
          <w:rFonts w:ascii="Times New Roman" w:hAnsi="Times New Roman" w:cs="Times New Roman"/>
          <w:b/>
          <w:sz w:val="24"/>
          <w:szCs w:val="24"/>
        </w:rPr>
      </w:pPr>
    </w:p>
    <w:p w:rsidR="00D151DA" w:rsidRDefault="00D151DA" w:rsidP="002159AC">
      <w:pPr>
        <w:spacing w:line="480" w:lineRule="auto"/>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DC550A" w:rsidRPr="00A97CEB" w:rsidRDefault="00DC550A" w:rsidP="00DC550A">
      <w:pPr>
        <w:spacing w:line="480" w:lineRule="auto"/>
        <w:rPr>
          <w:rFonts w:ascii="Times New Roman" w:hAnsi="Times New Roman" w:cs="Times New Roman"/>
          <w:b/>
          <w:sz w:val="24"/>
          <w:szCs w:val="24"/>
        </w:rPr>
      </w:pPr>
    </w:p>
    <w:p w:rsidR="002D4655" w:rsidRDefault="002D4655" w:rsidP="002D4655">
      <w:pPr>
        <w:spacing w:line="480" w:lineRule="auto"/>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t>
      </w:r>
      <w:r w:rsidR="00526B39" w:rsidRPr="00A97CEB">
        <w:rPr>
          <w:rFonts w:ascii="Times New Roman" w:hAnsi="Times New Roman" w:cs="Times New Roman"/>
          <w:sz w:val="24"/>
          <w:szCs w:val="24"/>
        </w:rPr>
        <w:lastRenderedPageBreak/>
        <w:t xml:space="preserve">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D073A5"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B128B0" w:rsidRPr="00B128B0" w:rsidRDefault="00B128B0" w:rsidP="001C426F">
      <w:pPr>
        <w:spacing w:line="480" w:lineRule="auto"/>
        <w:jc w:val="both"/>
        <w:rPr>
          <w:rFonts w:ascii="Times New Roman" w:hAnsi="Times New Roman" w:cs="Times New Roman"/>
          <w:sz w:val="24"/>
          <w:szCs w:val="24"/>
        </w:rPr>
      </w:pPr>
    </w:p>
    <w:p w:rsidR="001C426F" w:rsidRPr="00A97CEB" w:rsidRDefault="00D20D5A" w:rsidP="001C426F">
      <w:pPr>
        <w:spacing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rPr>
        <w:lastRenderedPageBreak/>
        <w:t>3.5</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E27025"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E27025" w:rsidRPr="00A97CEB">
        <w:rPr>
          <w:rFonts w:ascii="Times New Roman" w:hAnsi="Times New Roman" w:cs="Times New Roman"/>
          <w:b/>
          <w:sz w:val="24"/>
          <w:szCs w:val="24"/>
        </w:rPr>
        <w:t>.7</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lastRenderedPageBreak/>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lastRenderedPageBreak/>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lastRenderedPageBreak/>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lastRenderedPageBreak/>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lastRenderedPageBreak/>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2F9" w:rsidRDefault="00D422F9" w:rsidP="001848BC">
      <w:pPr>
        <w:spacing w:after="0" w:line="240" w:lineRule="auto"/>
      </w:pPr>
      <w:r>
        <w:separator/>
      </w:r>
    </w:p>
  </w:endnote>
  <w:endnote w:type="continuationSeparator" w:id="0">
    <w:p w:rsidR="00D422F9" w:rsidRDefault="00D422F9"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2F9" w:rsidRDefault="00D422F9" w:rsidP="001848BC">
      <w:pPr>
        <w:spacing w:after="0" w:line="240" w:lineRule="auto"/>
      </w:pPr>
      <w:r>
        <w:separator/>
      </w:r>
    </w:p>
  </w:footnote>
  <w:footnote w:type="continuationSeparator" w:id="0">
    <w:p w:rsidR="00D422F9" w:rsidRDefault="00D422F9"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D31D39">
            <w:rPr>
              <w:noProof/>
              <w:sz w:val="24"/>
              <w:szCs w:val="24"/>
            </w:rPr>
            <w:t>20</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741D"/>
    <w:rsid w:val="000A30A0"/>
    <w:rsid w:val="000B2177"/>
    <w:rsid w:val="000B69AF"/>
    <w:rsid w:val="000B7B4A"/>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84482"/>
    <w:rsid w:val="001848BC"/>
    <w:rsid w:val="00194833"/>
    <w:rsid w:val="001A0509"/>
    <w:rsid w:val="001A2755"/>
    <w:rsid w:val="001A4E57"/>
    <w:rsid w:val="001A7250"/>
    <w:rsid w:val="001B4AD0"/>
    <w:rsid w:val="001C426F"/>
    <w:rsid w:val="001D1D53"/>
    <w:rsid w:val="001E74BC"/>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E2052"/>
    <w:rsid w:val="002E45FB"/>
    <w:rsid w:val="002F0103"/>
    <w:rsid w:val="003016D5"/>
    <w:rsid w:val="0030180D"/>
    <w:rsid w:val="003042B1"/>
    <w:rsid w:val="00305D08"/>
    <w:rsid w:val="003069BB"/>
    <w:rsid w:val="00310DCA"/>
    <w:rsid w:val="00312B54"/>
    <w:rsid w:val="00314901"/>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400F2E"/>
    <w:rsid w:val="00402BC0"/>
    <w:rsid w:val="00406D19"/>
    <w:rsid w:val="00413574"/>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31A99"/>
    <w:rsid w:val="00635533"/>
    <w:rsid w:val="006777A4"/>
    <w:rsid w:val="0068614A"/>
    <w:rsid w:val="006922DF"/>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51BED"/>
    <w:rsid w:val="00755541"/>
    <w:rsid w:val="0076194B"/>
    <w:rsid w:val="00765F84"/>
    <w:rsid w:val="007733D9"/>
    <w:rsid w:val="00781013"/>
    <w:rsid w:val="00781725"/>
    <w:rsid w:val="007834FE"/>
    <w:rsid w:val="007911AC"/>
    <w:rsid w:val="00793312"/>
    <w:rsid w:val="007A0DA6"/>
    <w:rsid w:val="007A5706"/>
    <w:rsid w:val="007B451B"/>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74C9"/>
    <w:rsid w:val="009274F3"/>
    <w:rsid w:val="009315B4"/>
    <w:rsid w:val="0095700C"/>
    <w:rsid w:val="00965C87"/>
    <w:rsid w:val="00966DAD"/>
    <w:rsid w:val="009A1345"/>
    <w:rsid w:val="009A1C44"/>
    <w:rsid w:val="009A5E85"/>
    <w:rsid w:val="009A5F59"/>
    <w:rsid w:val="009B4C45"/>
    <w:rsid w:val="009B58BC"/>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B03DD"/>
    <w:rsid w:val="00BB2BBF"/>
    <w:rsid w:val="00BC0DCC"/>
    <w:rsid w:val="00BC294C"/>
    <w:rsid w:val="00BC3794"/>
    <w:rsid w:val="00BC4909"/>
    <w:rsid w:val="00BE3620"/>
    <w:rsid w:val="00BE51FA"/>
    <w:rsid w:val="00BE77B5"/>
    <w:rsid w:val="00BF23AD"/>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22F9"/>
    <w:rsid w:val="00D43BEE"/>
    <w:rsid w:val="00D47498"/>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12AB4"/>
    <w:rsid w:val="00E16D3D"/>
    <w:rsid w:val="00E249E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C6CB4"/>
    <w:rsid w:val="00ED7D80"/>
    <w:rsid w:val="00EE387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139FBF1F-B459-46AD-B023-79A67AAD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32</Pages>
  <Words>6228</Words>
  <Characters>35503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186</cp:revision>
  <dcterms:created xsi:type="dcterms:W3CDTF">2015-09-16T13:49:00Z</dcterms:created>
  <dcterms:modified xsi:type="dcterms:W3CDTF">2015-09-20T18:14:00Z</dcterms:modified>
</cp:coreProperties>
</file>