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120"/>
      </w:pPr>
      <w:r>
        <w:rPr>
          <w:b/>
          <w:color w:val="1F497D"/>
          <w:sz w:val="40"/>
        </w:rPr>
        <w:t>Office Object Classification Strategy</w:t>
        <w:br/>
        <w:t>CLIP Fine-Tuning on Google Open Images</w:t>
      </w:r>
    </w:p>
    <w:p>
      <w:pPr>
        <w:jc w:val="center"/>
        <w:spacing w:before="0" w:after="80"/>
      </w:pPr>
      <w:r>
        <w:rPr>
          <w:i/>
          <w:color w:val="4472C4"/>
          <w:sz w:val="26"/>
        </w:rPr>
        <w:t>Dataset Selection, License Compliance, Training Plan</w:t>
        <w:br/>
        <w:t>&amp; Integration into the 2D-to-IFC Pipeline</w:t>
      </w:r>
    </w:p>
    <w:p>
      <w:pPr>
        <w:jc w:val="center"/>
        <w:spacing w:before="0" w:after="200"/>
      </w:pPr>
      <w:r>
        <w:rPr>
          <w:color w:val="595959"/>
          <w:sz w:val="22"/>
        </w:rPr>
        <w:t>Dimitres Kisimov  |  April 21, 2026</w:t>
      </w:r>
    </w:p>
    <w:p/>
    <w:p>
      <w:pPr>
        <w:spacing w:before="160" w:after="80"/>
      </w:pPr>
      <w:r>
        <w:rPr>
          <w:b/>
          <w:color w:val="1F497D"/>
          <w:sz w:val="28"/>
        </w:rPr>
        <w:t>1. Executive Summary</w:t>
      </w:r>
    </w:p>
    <w:p>
      <w:pPr>
        <w:jc w:val="both"/>
        <w:spacing w:before="0" w:after="60"/>
      </w:pPr>
      <w:r>
        <w:rPr>
          <w:b w:val="0"/>
          <w:i w:val="0"/>
          <w:color w:val="000000"/>
          <w:sz w:val="22"/>
        </w:rPr>
        <w:t>This strategy paper defines the plan for fine-tuning a CLIP (Contrastive Language–Image Pre-Training) model on the Google Open Images V7 dataset to improve AI-driven object classification within the 2D-to-IFC pipeline. The goal is to increase classification confidence for common office furniture and equipment categories so that the pipeline can assign semantically correct IFC (Industry Foundation Classes) entities — rather than generic placeholders — in every exported building model.</w:t>
      </w:r>
    </w:p>
    <w:p>
      <w:pPr>
        <w:jc w:val="both"/>
        <w:spacing w:before="0" w:after="60"/>
      </w:pPr>
      <w:r>
        <w:rPr>
          <w:b/>
          <w:i w:val="0"/>
          <w:color w:val="000000"/>
          <w:sz w:val="22"/>
        </w:rPr>
        <w:t>Key objectives:</w:t>
      </w:r>
    </w:p>
    <w:p>
      <w:pPr>
        <w:pStyle w:val="ListBullet"/>
        <w:jc w:val="both"/>
        <w:spacing w:before="0" w:after="40"/>
      </w:pPr>
      <w:r>
        <w:rPr>
          <w:color w:val="000000"/>
          <w:sz w:val="22"/>
        </w:rPr>
        <w:t>Improve identification confidence for office furniture and equipment items (chairs, desks, filing cabinets, lamps, monitors, etc.) that are the primary subjects of the pipeline's input photographs.</w:t>
      </w:r>
    </w:p>
    <w:p>
      <w:pPr>
        <w:pStyle w:val="ListBullet"/>
        <w:jc w:val="both"/>
        <w:spacing w:before="0" w:after="40"/>
      </w:pPr>
      <w:r>
        <w:rPr>
          <w:color w:val="000000"/>
          <w:sz w:val="22"/>
        </w:rPr>
        <w:t>Produce semantically correct IFC entities (e.g. IfcFurnitureElement with correct PredefinedType) rather than defaulting to IfcBuildingElementProxy.</w:t>
      </w:r>
    </w:p>
    <w:p>
      <w:pPr>
        <w:pStyle w:val="ListBullet"/>
        <w:jc w:val="both"/>
        <w:spacing w:before="0" w:after="40"/>
      </w:pPr>
      <w:r>
        <w:rPr>
          <w:color w:val="000000"/>
          <w:sz w:val="22"/>
        </w:rPr>
        <w:t>Maintain full license compliance — all training data used under an open, commercially safe licence (CC BY 4.0).</w:t>
      </w:r>
    </w:p>
    <w:p>
      <w:pPr>
        <w:pStyle w:val="ListBullet"/>
        <w:jc w:val="both"/>
        <w:spacing w:before="0" w:after="40"/>
      </w:pPr>
      <w:r>
        <w:rPr>
          <w:color w:val="000000"/>
          <w:sz w:val="22"/>
        </w:rPr>
        <w:t>Keep the trained model fully offline and self-hosted — no runtime API calls or cloud dependencies.</w:t>
      </w:r>
    </w:p>
    <w:p>
      <w:pPr>
        <w:jc w:val="both"/>
        <w:spacing w:before="0" w:after="60"/>
      </w:pPr>
      <w:r>
        <w:rPr>
          <w:b/>
          <w:i w:val="0"/>
          <w:color w:val="000000"/>
          <w:sz w:val="22"/>
        </w:rPr>
        <w:t>Current baseline performance (CLIP zero-shot, ViT-B/32):</w:t>
      </w:r>
    </w:p>
    <w:p>
      <w:pPr>
        <w:pStyle w:val="ListBullet"/>
        <w:jc w:val="both"/>
        <w:spacing w:before="0" w:after="40"/>
      </w:pPr>
      <w:r>
        <w:rPr>
          <w:color w:val="000000"/>
          <w:sz w:val="22"/>
        </w:rPr>
        <w:t>Office chair: ~91% confidence — highest-performing category.</w:t>
      </w:r>
    </w:p>
    <w:p>
      <w:pPr>
        <w:pStyle w:val="ListBullet"/>
        <w:jc w:val="both"/>
        <w:spacing w:before="0" w:after="40"/>
      </w:pPr>
      <w:r>
        <w:rPr>
          <w:color w:val="000000"/>
          <w:sz w:val="22"/>
        </w:rPr>
        <w:t>Common furniture (table, monitor, keyboard): ~70–80% confidence — acceptable but improvable.</w:t>
      </w:r>
    </w:p>
    <w:p>
      <w:pPr>
        <w:pStyle w:val="ListBullet"/>
        <w:jc w:val="both"/>
        <w:spacing w:before="0" w:after="40"/>
      </w:pPr>
      <w:r>
        <w:rPr>
          <w:color w:val="000000"/>
          <w:sz w:val="22"/>
        </w:rPr>
        <w:t>Niche office items (filing cabinet, cupboard, bookshelf, lamp): ~45–60% confidence — insufficient for reliable IFC assignment.</w:t>
      </w:r>
    </w:p>
    <w:p>
      <w:pPr>
        <w:pStyle w:val="ListBullet"/>
        <w:jc w:val="both"/>
        <w:spacing w:before="0" w:after="40"/>
      </w:pPr>
      <w:r>
        <w:rPr>
          <w:color w:val="000000"/>
          <w:sz w:val="22"/>
        </w:rPr>
        <w:t>Average across all 11 target categories: ~65%.</w:t>
      </w:r>
    </w:p>
    <w:p>
      <w:pPr>
        <w:jc w:val="both"/>
        <w:spacing w:before="0" w:after="60"/>
      </w:pPr>
      <w:r>
        <w:rPr>
          <w:b w:val="0"/>
          <w:i w:val="0"/>
          <w:color w:val="000000"/>
          <w:sz w:val="22"/>
        </w:rPr>
        <w:t>Proposed solution: fine-tune CLIP on 2,000 images per category (22,000 images total) drawn from Google Open Images V7. Expected outcome: +15–25 percentage points uplift on office-specific categories, raising average confidence to approximately 92%.</w:t>
      </w:r>
    </w:p>
    <w:p/>
    <w:p>
      <w:pPr>
        <w:spacing w:before="160" w:after="80"/>
      </w:pPr>
      <w:r>
        <w:rPr>
          <w:b/>
          <w:color w:val="1F497D"/>
          <w:sz w:val="28"/>
        </w:rPr>
        <w:t>2. Dataset Selection &amp; License Compliance</w:t>
      </w:r>
    </w:p>
    <w:p>
      <w:pPr>
        <w:jc w:val="both"/>
        <w:spacing w:before="0" w:after="60"/>
      </w:pPr>
      <w:r>
        <w:rPr>
          <w:b w:val="0"/>
          <w:i w:val="0"/>
          <w:color w:val="000000"/>
          <w:sz w:val="22"/>
        </w:rPr>
        <w:t>Selecting a training dataset for a company product requires careful evaluation of intellectual-property risk. Three candidate datasets were assessed against the criteria of image volume, category coverage, and — critically — commercial licence compatibility.</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2448"/>
            <w:shd w:val="clear" w:color="auto" w:fill="1F497D"/>
          </w:tcPr>
          <w:p>
            <w:pPr>
              <w:jc w:val="center"/>
            </w:pPr>
            <w:r>
              <w:rPr>
                <w:b/>
                <w:color w:val="FFFFFF"/>
                <w:sz w:val="20"/>
              </w:rPr>
              <w:t>Dataset</w:t>
            </w:r>
          </w:p>
        </w:tc>
        <w:tc>
          <w:tcPr>
            <w:tcW w:type="dxa" w:w="1296"/>
            <w:shd w:val="clear" w:color="auto" w:fill="1F497D"/>
          </w:tcPr>
          <w:p>
            <w:pPr>
              <w:jc w:val="center"/>
            </w:pPr>
            <w:r>
              <w:rPr>
                <w:b/>
                <w:color w:val="FFFFFF"/>
                <w:sz w:val="20"/>
              </w:rPr>
              <w:t>Images</w:t>
            </w:r>
          </w:p>
        </w:tc>
        <w:tc>
          <w:tcPr>
            <w:tcW w:type="dxa" w:w="1440"/>
            <w:shd w:val="clear" w:color="auto" w:fill="1F497D"/>
          </w:tcPr>
          <w:p>
            <w:pPr>
              <w:jc w:val="center"/>
            </w:pPr>
            <w:r>
              <w:rPr>
                <w:b/>
                <w:color w:val="FFFFFF"/>
                <w:sz w:val="20"/>
              </w:rPr>
              <w:t>Categories</w:t>
            </w:r>
          </w:p>
        </w:tc>
        <w:tc>
          <w:tcPr>
            <w:tcW w:type="dxa" w:w="3600"/>
            <w:shd w:val="clear" w:color="auto" w:fill="1F497D"/>
          </w:tcPr>
          <w:p>
            <w:pPr>
              <w:jc w:val="center"/>
            </w:pPr>
            <w:r>
              <w:rPr>
                <w:b/>
                <w:color w:val="FFFFFF"/>
                <w:sz w:val="20"/>
              </w:rPr>
              <w:t>Licence</w:t>
            </w:r>
          </w:p>
        </w:tc>
        <w:tc>
          <w:tcPr>
            <w:tcW w:type="dxa" w:w="1440"/>
            <w:shd w:val="clear" w:color="auto" w:fill="1F497D"/>
          </w:tcPr>
          <w:p>
            <w:pPr>
              <w:jc w:val="center"/>
            </w:pPr>
            <w:r>
              <w:rPr>
                <w:b/>
                <w:color w:val="FFFFFF"/>
                <w:sz w:val="20"/>
              </w:rPr>
              <w:t>Decision</w:t>
            </w:r>
          </w:p>
        </w:tc>
      </w:tr>
      <w:tr>
        <w:tc>
          <w:tcPr>
            <w:tcW w:type="dxa" w:w="2448"/>
            <w:shd w:val="clear" w:color="auto" w:fill="F2F2F2"/>
          </w:tcPr>
          <w:p>
            <w:pPr>
              <w:jc w:val="center"/>
            </w:pPr>
            <w:r>
              <w:rPr>
                <w:color w:val="000000"/>
                <w:sz w:val="20"/>
              </w:rPr>
              <w:t>Office-Home</w:t>
            </w:r>
          </w:p>
        </w:tc>
        <w:tc>
          <w:tcPr>
            <w:tcW w:type="dxa" w:w="1296"/>
            <w:shd w:val="clear" w:color="auto" w:fill="F2F2F2"/>
          </w:tcPr>
          <w:p>
            <w:pPr>
              <w:jc w:val="center"/>
            </w:pPr>
            <w:r>
              <w:rPr>
                <w:color w:val="000000"/>
                <w:sz w:val="20"/>
              </w:rPr>
              <w:t>15,500</w:t>
            </w:r>
          </w:p>
        </w:tc>
        <w:tc>
          <w:tcPr>
            <w:tcW w:type="dxa" w:w="1440"/>
            <w:shd w:val="clear" w:color="auto" w:fill="F2F2F2"/>
          </w:tcPr>
          <w:p>
            <w:pPr>
              <w:jc w:val="center"/>
            </w:pPr>
            <w:r>
              <w:rPr>
                <w:color w:val="000000"/>
                <w:sz w:val="20"/>
              </w:rPr>
              <w:t>65</w:t>
            </w:r>
          </w:p>
        </w:tc>
        <w:tc>
          <w:tcPr>
            <w:tcW w:type="dxa" w:w="3600"/>
            <w:shd w:val="clear" w:color="auto" w:fill="F2F2F2"/>
          </w:tcPr>
          <w:p>
            <w:pPr>
              <w:jc w:val="center"/>
            </w:pPr>
            <w:r>
              <w:rPr>
                <w:color w:val="000000"/>
                <w:sz w:val="20"/>
              </w:rPr>
              <w:t>Non-Commercial Only (research)</w:t>
            </w:r>
          </w:p>
        </w:tc>
        <w:tc>
          <w:tcPr>
            <w:tcW w:type="dxa" w:w="1440"/>
            <w:shd w:val="clear" w:color="auto" w:fill="F2F2F2"/>
          </w:tcPr>
          <w:p>
            <w:pPr>
              <w:jc w:val="center"/>
            </w:pPr>
            <w:r>
              <w:rPr>
                <w:color w:val="000000"/>
                <w:sz w:val="20"/>
              </w:rPr>
              <w:t>REJECTED</w:t>
            </w:r>
          </w:p>
        </w:tc>
      </w:tr>
      <w:tr>
        <w:tc>
          <w:tcPr>
            <w:tcW w:type="dxa" w:w="2448"/>
            <w:shd w:val="clear" w:color="auto" w:fill="FFFFFF"/>
          </w:tcPr>
          <w:p>
            <w:pPr>
              <w:jc w:val="center"/>
            </w:pPr>
            <w:r>
              <w:rPr>
                <w:color w:val="000000"/>
                <w:sz w:val="20"/>
              </w:rPr>
              <w:t>COCO 2017</w:t>
            </w:r>
          </w:p>
        </w:tc>
        <w:tc>
          <w:tcPr>
            <w:tcW w:type="dxa" w:w="1296"/>
            <w:shd w:val="clear" w:color="auto" w:fill="FFFFFF"/>
          </w:tcPr>
          <w:p>
            <w:pPr>
              <w:jc w:val="center"/>
            </w:pPr>
            <w:r>
              <w:rPr>
                <w:color w:val="000000"/>
                <w:sz w:val="20"/>
              </w:rPr>
              <w:t>330,000</w:t>
            </w:r>
          </w:p>
        </w:tc>
        <w:tc>
          <w:tcPr>
            <w:tcW w:type="dxa" w:w="1440"/>
            <w:shd w:val="clear" w:color="auto" w:fill="FFFFFF"/>
          </w:tcPr>
          <w:p>
            <w:pPr>
              <w:jc w:val="center"/>
            </w:pPr>
            <w:r>
              <w:rPr>
                <w:color w:val="000000"/>
                <w:sz w:val="20"/>
              </w:rPr>
              <w:t>80</w:t>
            </w:r>
          </w:p>
        </w:tc>
        <w:tc>
          <w:tcPr>
            <w:tcW w:type="dxa" w:w="3600"/>
            <w:shd w:val="clear" w:color="auto" w:fill="FFFFFF"/>
          </w:tcPr>
          <w:p>
            <w:pPr>
              <w:jc w:val="center"/>
            </w:pPr>
            <w:r>
              <w:rPr>
                <w:color w:val="000000"/>
                <w:sz w:val="20"/>
              </w:rPr>
              <w:t>Mixed — individual image rights unclear</w:t>
            </w:r>
          </w:p>
        </w:tc>
        <w:tc>
          <w:tcPr>
            <w:tcW w:type="dxa" w:w="1440"/>
            <w:shd w:val="clear" w:color="auto" w:fill="FFFFFF"/>
          </w:tcPr>
          <w:p>
            <w:pPr>
              <w:jc w:val="center"/>
            </w:pPr>
            <w:r>
              <w:rPr>
                <w:color w:val="000000"/>
                <w:sz w:val="20"/>
              </w:rPr>
              <w:t>RISKY</w:t>
            </w:r>
          </w:p>
        </w:tc>
      </w:tr>
      <w:tr>
        <w:tc>
          <w:tcPr>
            <w:tcW w:type="dxa" w:w="2448"/>
            <w:shd w:val="clear" w:color="auto" w:fill="F2F2F2"/>
          </w:tcPr>
          <w:p>
            <w:pPr>
              <w:jc w:val="center"/>
            </w:pPr>
            <w:r>
              <w:rPr>
                <w:color w:val="000000"/>
                <w:sz w:val="20"/>
              </w:rPr>
              <w:t>Google Open Images V7</w:t>
            </w:r>
          </w:p>
        </w:tc>
        <w:tc>
          <w:tcPr>
            <w:tcW w:type="dxa" w:w="1296"/>
            <w:shd w:val="clear" w:color="auto" w:fill="F2F2F2"/>
          </w:tcPr>
          <w:p>
            <w:pPr>
              <w:jc w:val="center"/>
            </w:pPr>
            <w:r>
              <w:rPr>
                <w:color w:val="000000"/>
                <w:sz w:val="20"/>
              </w:rPr>
              <w:t>~9,000,000</w:t>
            </w:r>
          </w:p>
        </w:tc>
        <w:tc>
          <w:tcPr>
            <w:tcW w:type="dxa" w:w="1440"/>
            <w:shd w:val="clear" w:color="auto" w:fill="F2F2F2"/>
          </w:tcPr>
          <w:p>
            <w:pPr>
              <w:jc w:val="center"/>
            </w:pPr>
            <w:r>
              <w:rPr>
                <w:color w:val="000000"/>
                <w:sz w:val="20"/>
              </w:rPr>
              <w:t>600+</w:t>
            </w:r>
          </w:p>
        </w:tc>
        <w:tc>
          <w:tcPr>
            <w:tcW w:type="dxa" w:w="3600"/>
            <w:shd w:val="clear" w:color="auto" w:fill="F2F2F2"/>
          </w:tcPr>
          <w:p>
            <w:pPr>
              <w:jc w:val="center"/>
            </w:pPr>
            <w:r>
              <w:rPr>
                <w:color w:val="000000"/>
                <w:sz w:val="20"/>
              </w:rPr>
              <w:t>CC BY 4.0 (attribution required)</w:t>
            </w:r>
          </w:p>
        </w:tc>
        <w:tc>
          <w:tcPr>
            <w:tcW w:type="dxa" w:w="1440"/>
            <w:shd w:val="clear" w:color="auto" w:fill="F2F2F2"/>
          </w:tcPr>
          <w:p>
            <w:pPr>
              <w:jc w:val="center"/>
            </w:pPr>
            <w:r>
              <w:rPr>
                <w:color w:val="000000"/>
                <w:sz w:val="20"/>
              </w:rPr>
              <w:t>APPROVED</w:t>
            </w:r>
          </w:p>
        </w:tc>
      </w:tr>
    </w:tbl>
    <w:p/>
    <w:p>
      <w:pPr>
        <w:jc w:val="both"/>
        <w:spacing w:before="0" w:after="60"/>
      </w:pPr>
      <w:r>
        <w:rPr>
          <w:b/>
          <w:i w:val="0"/>
          <w:color w:val="000000"/>
          <w:sz w:val="22"/>
        </w:rPr>
        <w:t>Analysis:</w:t>
      </w:r>
    </w:p>
    <w:p>
      <w:pPr>
        <w:pStyle w:val="ListBullet"/>
        <w:jc w:val="both"/>
        <w:spacing w:before="0" w:after="40"/>
      </w:pPr>
      <w:r>
        <w:rPr>
          <w:color w:val="000000"/>
          <w:sz w:val="22"/>
        </w:rPr>
        <w:t>Office-Home is explicitly restricted to non-commercial, research-only use. Including it in a commercial product would constitute a licence violation.</w:t>
      </w:r>
    </w:p>
    <w:p>
      <w:pPr>
        <w:pStyle w:val="ListBullet"/>
        <w:jc w:val="both"/>
        <w:spacing w:before="0" w:after="40"/>
      </w:pPr>
      <w:r>
        <w:rPr>
          <w:color w:val="000000"/>
          <w:sz w:val="22"/>
        </w:rPr>
        <w:t>COCO 2017 uses Flickr images, many of which carry individual photographer licences. While COCO's annotations are CC BY 4.0, the underlying images are not uniformly cleared for commercial use — creating legal ambiguity that introduces unacceptable risk.</w:t>
      </w:r>
    </w:p>
    <w:p>
      <w:pPr>
        <w:pStyle w:val="ListBullet"/>
        <w:jc w:val="both"/>
        <w:spacing w:before="0" w:after="40"/>
      </w:pPr>
      <w:r>
        <w:rPr>
          <w:color w:val="000000"/>
          <w:sz w:val="22"/>
        </w:rPr>
        <w:t>Google Open Images V7 images are provided under Creative Commons Attribution 4.0 International (CC BY 4.0). This licence permits commercial use, modification, and redistribution provided that proper attribution is given. It is the only dataset in this assessment that is unambiguously safe for use in a commercial product.</w:t>
      </w:r>
    </w:p>
    <w:p>
      <w:pPr>
        <w:jc w:val="both"/>
        <w:spacing w:before="0" w:after="60"/>
      </w:pPr>
      <w:r>
        <w:rPr>
          <w:b/>
          <w:i w:val="0"/>
          <w:color w:val="000000"/>
          <w:sz w:val="22"/>
        </w:rPr>
        <w:t>Required attribution statement (must appear in product documentation):</w:t>
      </w:r>
    </w:p>
    <w:p>
      <w:pPr>
        <w:jc w:val="both"/>
        <w:spacing w:before="60" w:after="120"/>
      </w:pPr>
      <w:r>
        <w:rPr>
          <w:i/>
          <w:color w:val="366092"/>
          <w:sz w:val="22"/>
        </w:rPr>
        <w:t>"This project uses images from the Google Open Images Dataset V7, licensed under Creative Commons Attribution 4.0 International (CC BY 4.0). © Google LLC."</w:t>
      </w:r>
    </w:p>
    <w:p/>
    <w:p>
      <w:pPr>
        <w:spacing w:before="160" w:after="80"/>
      </w:pPr>
      <w:r>
        <w:rPr>
          <w:b/>
          <w:color w:val="1F497D"/>
          <w:sz w:val="28"/>
        </w:rPr>
        <w:t>3. Target Categories (11 Total)</w:t>
      </w:r>
    </w:p>
    <w:p>
      <w:pPr>
        <w:jc w:val="both"/>
        <w:spacing w:before="0" w:after="60"/>
      </w:pPr>
      <w:r>
        <w:rPr>
          <w:b w:val="0"/>
          <w:i w:val="0"/>
          <w:color w:val="000000"/>
          <w:sz w:val="22"/>
        </w:rPr>
        <w:t>The following eleven office-related categories have been identified as high-priority targets based on frequency of occurrence in office photographs and current CLIP zero-shot confidence levels. Each category will be trained with 2,000 images, yielding a total training corpus of 22,000 images.</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304"/>
            <w:shd w:val="clear" w:color="auto" w:fill="1F497D"/>
          </w:tcPr>
          <w:p>
            <w:pPr>
              <w:jc w:val="center"/>
            </w:pPr>
            <w:r>
              <w:rPr>
                <w:b/>
                <w:color w:val="FFFFFF"/>
                <w:sz w:val="20"/>
              </w:rPr>
              <w:t>Category Name</w:t>
            </w:r>
          </w:p>
        </w:tc>
        <w:tc>
          <w:tcPr>
            <w:tcW w:type="dxa" w:w="2592"/>
            <w:shd w:val="clear" w:color="auto" w:fill="1F497D"/>
          </w:tcPr>
          <w:p>
            <w:pPr>
              <w:jc w:val="center"/>
            </w:pPr>
            <w:r>
              <w:rPr>
                <w:b/>
                <w:color w:val="FFFFFF"/>
                <w:sz w:val="20"/>
              </w:rPr>
              <w:t>Open Images Label</w:t>
            </w:r>
          </w:p>
        </w:tc>
        <w:tc>
          <w:tcPr>
            <w:tcW w:type="dxa" w:w="2160"/>
            <w:shd w:val="clear" w:color="auto" w:fill="1F497D"/>
          </w:tcPr>
          <w:p>
            <w:pPr>
              <w:jc w:val="center"/>
            </w:pPr>
            <w:r>
              <w:rPr>
                <w:b/>
                <w:color w:val="FFFFFF"/>
                <w:sz w:val="20"/>
              </w:rPr>
              <w:t>Images to Download</w:t>
            </w:r>
          </w:p>
        </w:tc>
        <w:tc>
          <w:tcPr>
            <w:tcW w:type="dxa" w:w="3168"/>
            <w:shd w:val="clear" w:color="auto" w:fill="1F497D"/>
          </w:tcPr>
          <w:p>
            <w:pPr>
              <w:jc w:val="center"/>
            </w:pPr>
            <w:r>
              <w:rPr>
                <w:b/>
                <w:color w:val="FFFFFF"/>
                <w:sz w:val="20"/>
              </w:rPr>
              <w:t>Current CLIP Confidence (est.)</w:t>
            </w:r>
          </w:p>
        </w:tc>
      </w:tr>
      <w:tr>
        <w:tc>
          <w:tcPr>
            <w:tcW w:type="dxa" w:w="2304"/>
            <w:shd w:val="clear" w:color="auto" w:fill="F2F2F2"/>
          </w:tcPr>
          <w:p>
            <w:pPr>
              <w:jc w:val="center"/>
            </w:pPr>
            <w:r>
              <w:rPr>
                <w:color w:val="000000"/>
                <w:sz w:val="20"/>
              </w:rPr>
              <w:t>Office chair</w:t>
            </w:r>
          </w:p>
        </w:tc>
        <w:tc>
          <w:tcPr>
            <w:tcW w:type="dxa" w:w="2592"/>
            <w:shd w:val="clear" w:color="auto" w:fill="F2F2F2"/>
          </w:tcPr>
          <w:p>
            <w:pPr>
              <w:jc w:val="center"/>
            </w:pPr>
            <w:r>
              <w:rPr>
                <w:color w:val="000000"/>
                <w:sz w:val="20"/>
              </w:rPr>
              <w:t>Chair</w:t>
            </w:r>
          </w:p>
        </w:tc>
        <w:tc>
          <w:tcPr>
            <w:tcW w:type="dxa" w:w="2160"/>
            <w:shd w:val="clear" w:color="auto" w:fill="F2F2F2"/>
          </w:tcPr>
          <w:p>
            <w:pPr>
              <w:jc w:val="center"/>
            </w:pPr>
            <w:r>
              <w:rPr>
                <w:color w:val="000000"/>
                <w:sz w:val="20"/>
              </w:rPr>
              <w:t>2,000</w:t>
            </w:r>
          </w:p>
        </w:tc>
        <w:tc>
          <w:tcPr>
            <w:tcW w:type="dxa" w:w="3168"/>
            <w:shd w:val="clear" w:color="auto" w:fill="F2F2F2"/>
          </w:tcPr>
          <w:p>
            <w:pPr>
              <w:jc w:val="center"/>
            </w:pPr>
            <w:r>
              <w:rPr>
                <w:color w:val="000000"/>
                <w:sz w:val="20"/>
              </w:rPr>
              <w:t>~90%</w:t>
            </w:r>
          </w:p>
        </w:tc>
      </w:tr>
      <w:tr>
        <w:tc>
          <w:tcPr>
            <w:tcW w:type="dxa" w:w="2304"/>
            <w:shd w:val="clear" w:color="auto" w:fill="FFFFFF"/>
          </w:tcPr>
          <w:p>
            <w:pPr>
              <w:jc w:val="center"/>
            </w:pPr>
            <w:r>
              <w:rPr>
                <w:color w:val="000000"/>
                <w:sz w:val="20"/>
              </w:rPr>
              <w:t>Table</w:t>
            </w:r>
          </w:p>
        </w:tc>
        <w:tc>
          <w:tcPr>
            <w:tcW w:type="dxa" w:w="2592"/>
            <w:shd w:val="clear" w:color="auto" w:fill="FFFFFF"/>
          </w:tcPr>
          <w:p>
            <w:pPr>
              <w:jc w:val="center"/>
            </w:pPr>
            <w:r>
              <w:rPr>
                <w:color w:val="000000"/>
                <w:sz w:val="20"/>
              </w:rPr>
              <w:t>Table</w:t>
            </w:r>
          </w:p>
        </w:tc>
        <w:tc>
          <w:tcPr>
            <w:tcW w:type="dxa" w:w="2160"/>
            <w:shd w:val="clear" w:color="auto" w:fill="FFFFFF"/>
          </w:tcPr>
          <w:p>
            <w:pPr>
              <w:jc w:val="center"/>
            </w:pPr>
            <w:r>
              <w:rPr>
                <w:color w:val="000000"/>
                <w:sz w:val="20"/>
              </w:rPr>
              <w:t>2,000</w:t>
            </w:r>
          </w:p>
        </w:tc>
        <w:tc>
          <w:tcPr>
            <w:tcW w:type="dxa" w:w="3168"/>
            <w:shd w:val="clear" w:color="auto" w:fill="FFFFFF"/>
          </w:tcPr>
          <w:p>
            <w:pPr>
              <w:jc w:val="center"/>
            </w:pPr>
            <w:r>
              <w:rPr>
                <w:color w:val="000000"/>
                <w:sz w:val="20"/>
              </w:rPr>
              <w:t>~75%</w:t>
            </w:r>
          </w:p>
        </w:tc>
      </w:tr>
      <w:tr>
        <w:tc>
          <w:tcPr>
            <w:tcW w:type="dxa" w:w="2304"/>
            <w:shd w:val="clear" w:color="auto" w:fill="F2F2F2"/>
          </w:tcPr>
          <w:p>
            <w:pPr>
              <w:jc w:val="center"/>
            </w:pPr>
            <w:r>
              <w:rPr>
                <w:color w:val="000000"/>
                <w:sz w:val="20"/>
              </w:rPr>
              <w:t>Desk</w:t>
            </w:r>
          </w:p>
        </w:tc>
        <w:tc>
          <w:tcPr>
            <w:tcW w:type="dxa" w:w="2592"/>
            <w:shd w:val="clear" w:color="auto" w:fill="F2F2F2"/>
          </w:tcPr>
          <w:p>
            <w:pPr>
              <w:jc w:val="center"/>
            </w:pPr>
            <w:r>
              <w:rPr>
                <w:color w:val="000000"/>
                <w:sz w:val="20"/>
              </w:rPr>
              <w:t>Desk</w:t>
            </w:r>
          </w:p>
        </w:tc>
        <w:tc>
          <w:tcPr>
            <w:tcW w:type="dxa" w:w="2160"/>
            <w:shd w:val="clear" w:color="auto" w:fill="F2F2F2"/>
          </w:tcPr>
          <w:p>
            <w:pPr>
              <w:jc w:val="center"/>
            </w:pPr>
            <w:r>
              <w:rPr>
                <w:color w:val="000000"/>
                <w:sz w:val="20"/>
              </w:rPr>
              <w:t>2,000</w:t>
            </w:r>
          </w:p>
        </w:tc>
        <w:tc>
          <w:tcPr>
            <w:tcW w:type="dxa" w:w="3168"/>
            <w:shd w:val="clear" w:color="auto" w:fill="F2F2F2"/>
          </w:tcPr>
          <w:p>
            <w:pPr>
              <w:jc w:val="center"/>
            </w:pPr>
            <w:r>
              <w:rPr>
                <w:color w:val="000000"/>
                <w:sz w:val="20"/>
              </w:rPr>
              <w:t>~65%</w:t>
            </w:r>
          </w:p>
        </w:tc>
      </w:tr>
      <w:tr>
        <w:tc>
          <w:tcPr>
            <w:tcW w:type="dxa" w:w="2304"/>
            <w:shd w:val="clear" w:color="auto" w:fill="FFFFFF"/>
          </w:tcPr>
          <w:p>
            <w:pPr>
              <w:jc w:val="center"/>
            </w:pPr>
            <w:r>
              <w:rPr>
                <w:color w:val="000000"/>
                <w:sz w:val="20"/>
              </w:rPr>
              <w:t>Cabinet / Cupboard</w:t>
            </w:r>
          </w:p>
        </w:tc>
        <w:tc>
          <w:tcPr>
            <w:tcW w:type="dxa" w:w="2592"/>
            <w:shd w:val="clear" w:color="auto" w:fill="FFFFFF"/>
          </w:tcPr>
          <w:p>
            <w:pPr>
              <w:jc w:val="center"/>
            </w:pPr>
            <w:r>
              <w:rPr>
                <w:color w:val="000000"/>
                <w:sz w:val="20"/>
              </w:rPr>
              <w:t>Cabinet</w:t>
            </w:r>
          </w:p>
        </w:tc>
        <w:tc>
          <w:tcPr>
            <w:tcW w:type="dxa" w:w="2160"/>
            <w:shd w:val="clear" w:color="auto" w:fill="FFFFFF"/>
          </w:tcPr>
          <w:p>
            <w:pPr>
              <w:jc w:val="center"/>
            </w:pPr>
            <w:r>
              <w:rPr>
                <w:color w:val="000000"/>
                <w:sz w:val="20"/>
              </w:rPr>
              <w:t>2,000</w:t>
            </w:r>
          </w:p>
        </w:tc>
        <w:tc>
          <w:tcPr>
            <w:tcW w:type="dxa" w:w="3168"/>
            <w:shd w:val="clear" w:color="auto" w:fill="FFFFFF"/>
          </w:tcPr>
          <w:p>
            <w:pPr>
              <w:jc w:val="center"/>
            </w:pPr>
            <w:r>
              <w:rPr>
                <w:color w:val="000000"/>
                <w:sz w:val="20"/>
              </w:rPr>
              <w:t>~55%</w:t>
            </w:r>
          </w:p>
        </w:tc>
      </w:tr>
      <w:tr>
        <w:tc>
          <w:tcPr>
            <w:tcW w:type="dxa" w:w="2304"/>
            <w:shd w:val="clear" w:color="auto" w:fill="F2F2F2"/>
          </w:tcPr>
          <w:p>
            <w:pPr>
              <w:jc w:val="center"/>
            </w:pPr>
            <w:r>
              <w:rPr>
                <w:color w:val="000000"/>
                <w:sz w:val="20"/>
              </w:rPr>
              <w:t>Computer monitor</w:t>
            </w:r>
          </w:p>
        </w:tc>
        <w:tc>
          <w:tcPr>
            <w:tcW w:type="dxa" w:w="2592"/>
            <w:shd w:val="clear" w:color="auto" w:fill="F2F2F2"/>
          </w:tcPr>
          <w:p>
            <w:pPr>
              <w:jc w:val="center"/>
            </w:pPr>
            <w:r>
              <w:rPr>
                <w:color w:val="000000"/>
                <w:sz w:val="20"/>
              </w:rPr>
              <w:t>Computer monitor</w:t>
            </w:r>
          </w:p>
        </w:tc>
        <w:tc>
          <w:tcPr>
            <w:tcW w:type="dxa" w:w="2160"/>
            <w:shd w:val="clear" w:color="auto" w:fill="F2F2F2"/>
          </w:tcPr>
          <w:p>
            <w:pPr>
              <w:jc w:val="center"/>
            </w:pPr>
            <w:r>
              <w:rPr>
                <w:color w:val="000000"/>
                <w:sz w:val="20"/>
              </w:rPr>
              <w:t>2,000</w:t>
            </w:r>
          </w:p>
        </w:tc>
        <w:tc>
          <w:tcPr>
            <w:tcW w:type="dxa" w:w="3168"/>
            <w:shd w:val="clear" w:color="auto" w:fill="F2F2F2"/>
          </w:tcPr>
          <w:p>
            <w:pPr>
              <w:jc w:val="center"/>
            </w:pPr>
            <w:r>
              <w:rPr>
                <w:color w:val="000000"/>
                <w:sz w:val="20"/>
              </w:rPr>
              <w:t>~70%</w:t>
            </w:r>
          </w:p>
        </w:tc>
      </w:tr>
      <w:tr>
        <w:tc>
          <w:tcPr>
            <w:tcW w:type="dxa" w:w="2304"/>
            <w:shd w:val="clear" w:color="auto" w:fill="FFFFFF"/>
          </w:tcPr>
          <w:p>
            <w:pPr>
              <w:jc w:val="center"/>
            </w:pPr>
            <w:r>
              <w:rPr>
                <w:color w:val="000000"/>
                <w:sz w:val="20"/>
              </w:rPr>
              <w:t>Filing cabinet / Drawer</w:t>
            </w:r>
          </w:p>
        </w:tc>
        <w:tc>
          <w:tcPr>
            <w:tcW w:type="dxa" w:w="2592"/>
            <w:shd w:val="clear" w:color="auto" w:fill="FFFFFF"/>
          </w:tcPr>
          <w:p>
            <w:pPr>
              <w:jc w:val="center"/>
            </w:pPr>
            <w:r>
              <w:rPr>
                <w:color w:val="000000"/>
                <w:sz w:val="20"/>
              </w:rPr>
              <w:t>Filing cabinet</w:t>
            </w:r>
          </w:p>
        </w:tc>
        <w:tc>
          <w:tcPr>
            <w:tcW w:type="dxa" w:w="2160"/>
            <w:shd w:val="clear" w:color="auto" w:fill="FFFFFF"/>
          </w:tcPr>
          <w:p>
            <w:pPr>
              <w:jc w:val="center"/>
            </w:pPr>
            <w:r>
              <w:rPr>
                <w:color w:val="000000"/>
                <w:sz w:val="20"/>
              </w:rPr>
              <w:t>2,000</w:t>
            </w:r>
          </w:p>
        </w:tc>
        <w:tc>
          <w:tcPr>
            <w:tcW w:type="dxa" w:w="3168"/>
            <w:shd w:val="clear" w:color="auto" w:fill="FFFFFF"/>
          </w:tcPr>
          <w:p>
            <w:pPr>
              <w:jc w:val="center"/>
            </w:pPr>
            <w:r>
              <w:rPr>
                <w:color w:val="000000"/>
                <w:sz w:val="20"/>
              </w:rPr>
              <w:t>~45%</w:t>
            </w:r>
          </w:p>
        </w:tc>
      </w:tr>
      <w:tr>
        <w:tc>
          <w:tcPr>
            <w:tcW w:type="dxa" w:w="2304"/>
            <w:shd w:val="clear" w:color="auto" w:fill="F2F2F2"/>
          </w:tcPr>
          <w:p>
            <w:pPr>
              <w:jc w:val="center"/>
            </w:pPr>
            <w:r>
              <w:rPr>
                <w:color w:val="000000"/>
                <w:sz w:val="20"/>
              </w:rPr>
              <w:t>Lamp</w:t>
            </w:r>
          </w:p>
        </w:tc>
        <w:tc>
          <w:tcPr>
            <w:tcW w:type="dxa" w:w="2592"/>
            <w:shd w:val="clear" w:color="auto" w:fill="F2F2F2"/>
          </w:tcPr>
          <w:p>
            <w:pPr>
              <w:jc w:val="center"/>
            </w:pPr>
            <w:r>
              <w:rPr>
                <w:color w:val="000000"/>
                <w:sz w:val="20"/>
              </w:rPr>
              <w:t>Lamp</w:t>
            </w:r>
          </w:p>
        </w:tc>
        <w:tc>
          <w:tcPr>
            <w:tcW w:type="dxa" w:w="2160"/>
            <w:shd w:val="clear" w:color="auto" w:fill="F2F2F2"/>
          </w:tcPr>
          <w:p>
            <w:pPr>
              <w:jc w:val="center"/>
            </w:pPr>
            <w:r>
              <w:rPr>
                <w:color w:val="000000"/>
                <w:sz w:val="20"/>
              </w:rPr>
              <w:t>2,000</w:t>
            </w:r>
          </w:p>
        </w:tc>
        <w:tc>
          <w:tcPr>
            <w:tcW w:type="dxa" w:w="3168"/>
            <w:shd w:val="clear" w:color="auto" w:fill="F2F2F2"/>
          </w:tcPr>
          <w:p>
            <w:pPr>
              <w:jc w:val="center"/>
            </w:pPr>
            <w:r>
              <w:rPr>
                <w:color w:val="000000"/>
                <w:sz w:val="20"/>
              </w:rPr>
              <w:t>~60%</w:t>
            </w:r>
          </w:p>
        </w:tc>
      </w:tr>
      <w:tr>
        <w:tc>
          <w:tcPr>
            <w:tcW w:type="dxa" w:w="2304"/>
            <w:shd w:val="clear" w:color="auto" w:fill="FFFFFF"/>
          </w:tcPr>
          <w:p>
            <w:pPr>
              <w:jc w:val="center"/>
            </w:pPr>
            <w:r>
              <w:rPr>
                <w:color w:val="000000"/>
                <w:sz w:val="20"/>
              </w:rPr>
              <w:t>Bookshelf</w:t>
            </w:r>
          </w:p>
        </w:tc>
        <w:tc>
          <w:tcPr>
            <w:tcW w:type="dxa" w:w="2592"/>
            <w:shd w:val="clear" w:color="auto" w:fill="FFFFFF"/>
          </w:tcPr>
          <w:p>
            <w:pPr>
              <w:jc w:val="center"/>
            </w:pPr>
            <w:r>
              <w:rPr>
                <w:color w:val="000000"/>
                <w:sz w:val="20"/>
              </w:rPr>
              <w:t>Bookcase</w:t>
            </w:r>
          </w:p>
        </w:tc>
        <w:tc>
          <w:tcPr>
            <w:tcW w:type="dxa" w:w="2160"/>
            <w:shd w:val="clear" w:color="auto" w:fill="FFFFFF"/>
          </w:tcPr>
          <w:p>
            <w:pPr>
              <w:jc w:val="center"/>
            </w:pPr>
            <w:r>
              <w:rPr>
                <w:color w:val="000000"/>
                <w:sz w:val="20"/>
              </w:rPr>
              <w:t>2,000</w:t>
            </w:r>
          </w:p>
        </w:tc>
        <w:tc>
          <w:tcPr>
            <w:tcW w:type="dxa" w:w="3168"/>
            <w:shd w:val="clear" w:color="auto" w:fill="FFFFFF"/>
          </w:tcPr>
          <w:p>
            <w:pPr>
              <w:jc w:val="center"/>
            </w:pPr>
            <w:r>
              <w:rPr>
                <w:color w:val="000000"/>
                <w:sz w:val="20"/>
              </w:rPr>
              <w:t>~55%</w:t>
            </w:r>
          </w:p>
        </w:tc>
      </w:tr>
      <w:tr>
        <w:tc>
          <w:tcPr>
            <w:tcW w:type="dxa" w:w="2304"/>
            <w:shd w:val="clear" w:color="auto" w:fill="F2F2F2"/>
          </w:tcPr>
          <w:p>
            <w:pPr>
              <w:jc w:val="center"/>
            </w:pPr>
            <w:r>
              <w:rPr>
                <w:color w:val="000000"/>
                <w:sz w:val="20"/>
              </w:rPr>
              <w:t>Keyboard</w:t>
            </w:r>
          </w:p>
        </w:tc>
        <w:tc>
          <w:tcPr>
            <w:tcW w:type="dxa" w:w="2592"/>
            <w:shd w:val="clear" w:color="auto" w:fill="F2F2F2"/>
          </w:tcPr>
          <w:p>
            <w:pPr>
              <w:jc w:val="center"/>
            </w:pPr>
            <w:r>
              <w:rPr>
                <w:color w:val="000000"/>
                <w:sz w:val="20"/>
              </w:rPr>
              <w:t>Computer keyboard</w:t>
            </w:r>
          </w:p>
        </w:tc>
        <w:tc>
          <w:tcPr>
            <w:tcW w:type="dxa" w:w="2160"/>
            <w:shd w:val="clear" w:color="auto" w:fill="F2F2F2"/>
          </w:tcPr>
          <w:p>
            <w:pPr>
              <w:jc w:val="center"/>
            </w:pPr>
            <w:r>
              <w:rPr>
                <w:color w:val="000000"/>
                <w:sz w:val="20"/>
              </w:rPr>
              <w:t>2,000</w:t>
            </w:r>
          </w:p>
        </w:tc>
        <w:tc>
          <w:tcPr>
            <w:tcW w:type="dxa" w:w="3168"/>
            <w:shd w:val="clear" w:color="auto" w:fill="F2F2F2"/>
          </w:tcPr>
          <w:p>
            <w:pPr>
              <w:jc w:val="center"/>
            </w:pPr>
            <w:r>
              <w:rPr>
                <w:color w:val="000000"/>
                <w:sz w:val="20"/>
              </w:rPr>
              <w:t>~80%</w:t>
            </w:r>
          </w:p>
        </w:tc>
      </w:tr>
      <w:tr>
        <w:tc>
          <w:tcPr>
            <w:tcW w:type="dxa" w:w="2304"/>
            <w:shd w:val="clear" w:color="auto" w:fill="FFFFFF"/>
          </w:tcPr>
          <w:p>
            <w:pPr>
              <w:jc w:val="center"/>
            </w:pPr>
            <w:r>
              <w:rPr>
                <w:color w:val="000000"/>
                <w:sz w:val="20"/>
              </w:rPr>
              <w:t>Mouse</w:t>
            </w:r>
          </w:p>
        </w:tc>
        <w:tc>
          <w:tcPr>
            <w:tcW w:type="dxa" w:w="2592"/>
            <w:shd w:val="clear" w:color="auto" w:fill="FFFFFF"/>
          </w:tcPr>
          <w:p>
            <w:pPr>
              <w:jc w:val="center"/>
            </w:pPr>
            <w:r>
              <w:rPr>
                <w:color w:val="000000"/>
                <w:sz w:val="20"/>
              </w:rPr>
              <w:t>Computer mouse</w:t>
            </w:r>
          </w:p>
        </w:tc>
        <w:tc>
          <w:tcPr>
            <w:tcW w:type="dxa" w:w="2160"/>
            <w:shd w:val="clear" w:color="auto" w:fill="FFFFFF"/>
          </w:tcPr>
          <w:p>
            <w:pPr>
              <w:jc w:val="center"/>
            </w:pPr>
            <w:r>
              <w:rPr>
                <w:color w:val="000000"/>
                <w:sz w:val="20"/>
              </w:rPr>
              <w:t>2,000</w:t>
            </w:r>
          </w:p>
        </w:tc>
        <w:tc>
          <w:tcPr>
            <w:tcW w:type="dxa" w:w="3168"/>
            <w:shd w:val="clear" w:color="auto" w:fill="FFFFFF"/>
          </w:tcPr>
          <w:p>
            <w:pPr>
              <w:jc w:val="center"/>
            </w:pPr>
            <w:r>
              <w:rPr>
                <w:color w:val="000000"/>
                <w:sz w:val="20"/>
              </w:rPr>
              <w:t>~75%</w:t>
            </w:r>
          </w:p>
        </w:tc>
      </w:tr>
      <w:tr>
        <w:tc>
          <w:tcPr>
            <w:tcW w:type="dxa" w:w="2304"/>
            <w:shd w:val="clear" w:color="auto" w:fill="F2F2F2"/>
          </w:tcPr>
          <w:p>
            <w:pPr>
              <w:jc w:val="center"/>
            </w:pPr>
            <w:r>
              <w:rPr>
                <w:color w:val="000000"/>
                <w:sz w:val="20"/>
              </w:rPr>
              <w:t>Desk lamp</w:t>
            </w:r>
          </w:p>
        </w:tc>
        <w:tc>
          <w:tcPr>
            <w:tcW w:type="dxa" w:w="2592"/>
            <w:shd w:val="clear" w:color="auto" w:fill="F2F2F2"/>
          </w:tcPr>
          <w:p>
            <w:pPr>
              <w:jc w:val="center"/>
            </w:pPr>
            <w:r>
              <w:rPr>
                <w:color w:val="000000"/>
                <w:sz w:val="20"/>
              </w:rPr>
              <w:t>Desk lamp</w:t>
            </w:r>
          </w:p>
        </w:tc>
        <w:tc>
          <w:tcPr>
            <w:tcW w:type="dxa" w:w="2160"/>
            <w:shd w:val="clear" w:color="auto" w:fill="F2F2F2"/>
          </w:tcPr>
          <w:p>
            <w:pPr>
              <w:jc w:val="center"/>
            </w:pPr>
            <w:r>
              <w:rPr>
                <w:color w:val="000000"/>
                <w:sz w:val="20"/>
              </w:rPr>
              <w:t>2,000</w:t>
            </w:r>
          </w:p>
        </w:tc>
        <w:tc>
          <w:tcPr>
            <w:tcW w:type="dxa" w:w="3168"/>
            <w:shd w:val="clear" w:color="auto" w:fill="F2F2F2"/>
          </w:tcPr>
          <w:p>
            <w:pPr>
              <w:jc w:val="center"/>
            </w:pPr>
            <w:r>
              <w:rPr>
                <w:color w:val="000000"/>
                <w:sz w:val="20"/>
              </w:rPr>
              <w:t>~60%</w:t>
            </w:r>
          </w:p>
        </w:tc>
      </w:tr>
      <w:tr>
        <w:tc>
          <w:tcPr>
            <w:tcW w:type="dxa" w:w="2304"/>
            <w:shd w:val="clear" w:color="auto" w:fill="FFFFFF"/>
          </w:tcPr>
          <w:p>
            <w:pPr>
              <w:jc w:val="center"/>
            </w:pPr>
            <w:r>
              <w:rPr>
                <w:color w:val="000000"/>
                <w:sz w:val="20"/>
              </w:rPr>
              <w:t>TOTAL</w:t>
            </w:r>
          </w:p>
        </w:tc>
        <w:tc>
          <w:tcPr>
            <w:tcW w:type="dxa" w:w="2592"/>
            <w:shd w:val="clear" w:color="auto" w:fill="FFFFFF"/>
          </w:tcPr>
          <w:p>
            <w:pPr>
              <w:jc w:val="center"/>
            </w:pPr>
            <w:r>
              <w:rPr>
                <w:color w:val="000000"/>
                <w:sz w:val="20"/>
              </w:rPr>
              <w:t>—</w:t>
            </w:r>
          </w:p>
        </w:tc>
        <w:tc>
          <w:tcPr>
            <w:tcW w:type="dxa" w:w="2160"/>
            <w:shd w:val="clear" w:color="auto" w:fill="FFFFFF"/>
          </w:tcPr>
          <w:p>
            <w:pPr>
              <w:jc w:val="center"/>
            </w:pPr>
            <w:r>
              <w:rPr>
                <w:color w:val="000000"/>
                <w:sz w:val="20"/>
              </w:rPr>
              <w:t>22,000</w:t>
            </w:r>
          </w:p>
        </w:tc>
        <w:tc>
          <w:tcPr>
            <w:tcW w:type="dxa" w:w="3168"/>
            <w:shd w:val="clear" w:color="auto" w:fill="FFFFFF"/>
          </w:tcPr>
          <w:p>
            <w:pPr>
              <w:jc w:val="center"/>
            </w:pPr>
            <w:r>
              <w:rPr>
                <w:color w:val="000000"/>
                <w:sz w:val="20"/>
              </w:rPr>
              <w:t>~65% avg.</w:t>
            </w:r>
          </w:p>
        </w:tc>
      </w:tr>
    </w:tbl>
    <w:p/>
    <w:p>
      <w:pPr>
        <w:jc w:val="both"/>
        <w:spacing w:before="0" w:after="60"/>
      </w:pPr>
      <w:r>
        <w:rPr>
          <w:b w:val="0"/>
          <w:i w:val="0"/>
          <w:color w:val="000000"/>
          <w:sz w:val="22"/>
        </w:rPr>
        <w:t>Categories with confidence below 65% (filing cabinet, bookshelf, cabinet/cupboard, lamp, desk lamp, desk) represent the highest-value targets: even a modest improvement in these classes will produce significantly better IFC output quality for a large proportion of real-world office photographs.</w:t>
      </w:r>
    </w:p>
    <w:p/>
    <w:p>
      <w:pPr>
        <w:spacing w:before="160" w:after="80"/>
      </w:pPr>
      <w:r>
        <w:rPr>
          <w:b/>
          <w:color w:val="1F497D"/>
          <w:sz w:val="28"/>
        </w:rPr>
        <w:t>4. Training Strategy</w:t>
      </w:r>
    </w:p>
    <w:p>
      <w:pPr>
        <w:jc w:val="both"/>
        <w:spacing w:before="0" w:after="60"/>
      </w:pPr>
      <w:r>
        <w:rPr>
          <w:b w:val="0"/>
          <w:i w:val="0"/>
          <w:color w:val="000000"/>
          <w:sz w:val="22"/>
        </w:rPr>
        <w:t>The training plan follows a two-phase approach: a rapid linear probe to establish a reliable performance baseline, followed by parameter-efficient LoRA fine-tuning for maximum accuracy. Both phases use the same dataset, split, and augmentation pipeline.</w:t>
      </w:r>
    </w:p>
    <w:p>
      <w:pPr>
        <w:spacing w:before="160" w:after="80"/>
      </w:pPr>
      <w:r>
        <w:rPr>
          <w:b/>
          <w:color w:val="4472C4"/>
          <w:sz w:val="24"/>
        </w:rPr>
        <w:t>4.1  Phase 1 — Linear Probe (estimated 30 minutes on GPU)</w:t>
      </w:r>
    </w:p>
    <w:p>
      <w:pPr>
        <w:jc w:val="both"/>
        <w:spacing w:before="0" w:after="60"/>
      </w:pPr>
      <w:r>
        <w:rPr>
          <w:b w:val="0"/>
          <w:i w:val="0"/>
          <w:color w:val="000000"/>
          <w:sz w:val="22"/>
        </w:rPr>
        <w:t>In this phase all CLIP weights are frozen. A single fully-connected classification layer is added on top of CLIP's image encoder output and trained against the 11-class office category labels. This approach is extremely fast, carries near-zero risk of overfitting, and provides a strong baseline that already outperforms zero-shot CLIP on in-distribution office images.</w:t>
      </w:r>
    </w:p>
    <w:p>
      <w:pPr>
        <w:pStyle w:val="ListBullet"/>
        <w:jc w:val="both"/>
        <w:spacing w:before="0" w:after="40"/>
      </w:pPr>
      <w:r>
        <w:rPr>
          <w:color w:val="000000"/>
          <w:sz w:val="22"/>
        </w:rPr>
        <w:t>All CLIP encoder parameters: frozen (not updated).</w:t>
      </w:r>
    </w:p>
    <w:p>
      <w:pPr>
        <w:pStyle w:val="ListBullet"/>
        <w:jc w:val="both"/>
        <w:spacing w:before="0" w:after="40"/>
      </w:pPr>
      <w:r>
        <w:rPr>
          <w:color w:val="000000"/>
          <w:sz w:val="22"/>
        </w:rPr>
        <w:t>Trainable parameters: one linear layer — 512 × 11 = 5,632 parameters.</w:t>
      </w:r>
    </w:p>
    <w:p>
      <w:pPr>
        <w:pStyle w:val="ListBullet"/>
        <w:jc w:val="both"/>
        <w:spacing w:before="0" w:after="40"/>
      </w:pPr>
      <w:r>
        <w:rPr>
          <w:color w:val="000000"/>
          <w:sz w:val="22"/>
        </w:rPr>
        <w:t>Training time: approximately 30 minutes on a single GPU.</w:t>
      </w:r>
    </w:p>
    <w:p>
      <w:pPr>
        <w:pStyle w:val="ListBullet"/>
        <w:jc w:val="both"/>
        <w:spacing w:before="0" w:after="40"/>
      </w:pPr>
      <w:r>
        <w:rPr>
          <w:color w:val="000000"/>
          <w:sz w:val="22"/>
        </w:rPr>
        <w:t>Risk of overfitting: very low.</w:t>
      </w:r>
    </w:p>
    <w:p>
      <w:pPr>
        <w:pStyle w:val="ListBullet"/>
        <w:jc w:val="both"/>
        <w:spacing w:before="0" w:after="40"/>
      </w:pPr>
      <w:r>
        <w:rPr>
          <w:color w:val="000000"/>
          <w:sz w:val="22"/>
        </w:rPr>
        <w:t>Expected validation accuracy: 85–90%.</w:t>
      </w:r>
    </w:p>
    <w:p>
      <w:pPr>
        <w:spacing w:before="160" w:after="80"/>
      </w:pPr>
      <w:r>
        <w:rPr>
          <w:b/>
          <w:color w:val="4472C4"/>
          <w:sz w:val="24"/>
        </w:rPr>
        <w:t>4.2  Phase 2 — LoRA Fine-Tuning (estimated 1–2 hours on GPU)</w:t>
      </w:r>
    </w:p>
    <w:p>
      <w:pPr>
        <w:jc w:val="both"/>
        <w:spacing w:before="0" w:after="60"/>
      </w:pPr>
      <w:r>
        <w:rPr>
          <w:b w:val="0"/>
          <w:i w:val="0"/>
          <w:color w:val="000000"/>
          <w:sz w:val="22"/>
        </w:rPr>
        <w:t>Low-Rank Adaptation (LoRA) introduces small trainable rank-decomposition matrices alongside the frozen attention weights of CLIP's image encoder. Typically only ~1% of the total model parameters are updated, yet the resulting model substantially outperforms a linear probe because the visual representations themselves are adapted to the office-image distribution.</w:t>
      </w:r>
    </w:p>
    <w:p>
      <w:pPr>
        <w:pStyle w:val="ListBullet"/>
        <w:jc w:val="both"/>
        <w:spacing w:before="0" w:after="40"/>
      </w:pPr>
      <w:r>
        <w:rPr>
          <w:color w:val="000000"/>
          <w:sz w:val="22"/>
        </w:rPr>
        <w:t>CLIP encoder attention weights: frozen; LoRA adapters inserted alongside.</w:t>
      </w:r>
    </w:p>
    <w:p>
      <w:pPr>
        <w:pStyle w:val="ListBullet"/>
        <w:jc w:val="both"/>
        <w:spacing w:before="0" w:after="40"/>
      </w:pPr>
      <w:r>
        <w:rPr>
          <w:color w:val="000000"/>
          <w:sz w:val="22"/>
        </w:rPr>
        <w:t>Trainable parameters: approximately 300,000 (LoRA rank = 16, ~1% of total).</w:t>
      </w:r>
    </w:p>
    <w:p>
      <w:pPr>
        <w:pStyle w:val="ListBullet"/>
        <w:jc w:val="both"/>
        <w:spacing w:before="0" w:after="40"/>
      </w:pPr>
      <w:r>
        <w:rPr>
          <w:color w:val="000000"/>
          <w:sz w:val="22"/>
        </w:rPr>
        <w:t>Training time: 1–2 hours on a single GPU.</w:t>
      </w:r>
    </w:p>
    <w:p>
      <w:pPr>
        <w:pStyle w:val="ListBullet"/>
        <w:jc w:val="both"/>
        <w:spacing w:before="0" w:after="40"/>
      </w:pPr>
      <w:r>
        <w:rPr>
          <w:color w:val="000000"/>
          <w:sz w:val="22"/>
        </w:rPr>
        <w:t>Risk of overfitting: low — regularised by LoRA rank constraint.</w:t>
      </w:r>
    </w:p>
    <w:p>
      <w:pPr>
        <w:pStyle w:val="ListBullet"/>
        <w:jc w:val="both"/>
        <w:spacing w:before="0" w:after="40"/>
      </w:pPr>
      <w:r>
        <w:rPr>
          <w:color w:val="000000"/>
          <w:sz w:val="22"/>
        </w:rPr>
        <w:t>Expected validation accuracy: 90–95%.</w:t>
      </w:r>
    </w:p>
    <w:p>
      <w:pPr>
        <w:pStyle w:val="ListBullet"/>
        <w:jc w:val="both"/>
        <w:spacing w:before="0" w:after="40"/>
      </w:pPr>
      <w:r>
        <w:rPr>
          <w:color w:val="000000"/>
          <w:sz w:val="22"/>
        </w:rPr>
        <w:t>Saved checkpoint size: approximately 400 MB (base CLIP + LoRA weights).</w:t>
      </w:r>
    </w:p>
    <w:p>
      <w:pPr>
        <w:spacing w:before="160" w:after="80"/>
      </w:pPr>
      <w:r>
        <w:rPr>
          <w:b/>
          <w:color w:val="4472C4"/>
          <w:sz w:val="24"/>
        </w:rPr>
        <w:t>4.3  Data Split</w:t>
      </w:r>
    </w:p>
    <w:p>
      <w:pPr>
        <w:pStyle w:val="ListBullet"/>
        <w:jc w:val="both"/>
        <w:spacing w:before="0" w:after="40"/>
      </w:pPr>
      <w:r>
        <w:rPr>
          <w:color w:val="000000"/>
          <w:sz w:val="22"/>
        </w:rPr>
        <w:t>Training set: 80% of images per category (1,600 images × 11 = 17,600 total).</w:t>
      </w:r>
    </w:p>
    <w:p>
      <w:pPr>
        <w:pStyle w:val="ListBullet"/>
        <w:jc w:val="both"/>
        <w:spacing w:before="0" w:after="40"/>
      </w:pPr>
      <w:r>
        <w:rPr>
          <w:color w:val="000000"/>
          <w:sz w:val="22"/>
        </w:rPr>
        <w:t>Validation set: 10% (200 images × 11 = 2,200 total) — used for early stopping.</w:t>
      </w:r>
    </w:p>
    <w:p>
      <w:pPr>
        <w:pStyle w:val="ListBullet"/>
        <w:jc w:val="both"/>
        <w:spacing w:before="0" w:after="40"/>
      </w:pPr>
      <w:r>
        <w:rPr>
          <w:color w:val="000000"/>
          <w:sz w:val="22"/>
        </w:rPr>
        <w:t>Test set: 10% (200 images × 11 = 2,200 total) — held out until final evaluation.</w:t>
      </w:r>
    </w:p>
    <w:p>
      <w:pPr>
        <w:spacing w:before="160" w:after="80"/>
      </w:pPr>
      <w:r>
        <w:rPr>
          <w:b/>
          <w:color w:val="4472C4"/>
          <w:sz w:val="24"/>
        </w:rPr>
        <w:t>4.4  Data Augmentation</w:t>
      </w:r>
    </w:p>
    <w:p>
      <w:pPr>
        <w:pStyle w:val="ListBullet"/>
        <w:jc w:val="both"/>
        <w:spacing w:before="0" w:after="40"/>
      </w:pPr>
      <w:r>
        <w:rPr>
          <w:color w:val="000000"/>
          <w:sz w:val="22"/>
        </w:rPr>
        <w:t>Random crop with resize to 224 × 224 pixels.</w:t>
      </w:r>
    </w:p>
    <w:p>
      <w:pPr>
        <w:pStyle w:val="ListBullet"/>
        <w:jc w:val="both"/>
        <w:spacing w:before="0" w:after="40"/>
      </w:pPr>
      <w:r>
        <w:rPr>
          <w:color w:val="000000"/>
          <w:sz w:val="22"/>
        </w:rPr>
        <w:t>Random horizontal flip (p = 0.5).</w:t>
      </w:r>
    </w:p>
    <w:p>
      <w:pPr>
        <w:pStyle w:val="ListBullet"/>
        <w:jc w:val="both"/>
        <w:spacing w:before="0" w:after="40"/>
      </w:pPr>
      <w:r>
        <w:rPr>
          <w:color w:val="000000"/>
          <w:sz w:val="22"/>
        </w:rPr>
        <w:t>Colour jitter: brightness ±20%, contrast ±20%, saturation ±10%.</w:t>
      </w:r>
    </w:p>
    <w:p>
      <w:pPr>
        <w:pStyle w:val="ListBullet"/>
        <w:jc w:val="both"/>
        <w:spacing w:before="0" w:after="40"/>
      </w:pPr>
      <w:r>
        <w:rPr>
          <w:color w:val="000000"/>
          <w:sz w:val="22"/>
        </w:rPr>
        <w:t>Normalisation: ImageNet mean and standard deviation (CLIP standard).</w:t>
      </w:r>
    </w:p>
    <w:p>
      <w:pPr>
        <w:spacing w:before="160" w:after="80"/>
      </w:pPr>
      <w:r>
        <w:rPr>
          <w:b/>
          <w:color w:val="4472C4"/>
          <w:sz w:val="24"/>
        </w:rPr>
        <w:t>4.5  Offline Deployment</w:t>
      </w:r>
    </w:p>
    <w:p>
      <w:pPr>
        <w:jc w:val="both"/>
        <w:spacing w:before="0" w:after="60"/>
      </w:pPr>
      <w:r>
        <w:rPr>
          <w:b w:val="0"/>
          <w:i w:val="0"/>
          <w:color w:val="000000"/>
          <w:sz w:val="22"/>
        </w:rPr>
        <w:t>The fine-tuned model checkpoint is saved locally on the production server. inference_base.py automatically loads the fine-tuned weights at startup if the checkpoint file is present; if the file is absent it falls back gracefully to zero-shot CLIP, ensuring the pipeline remains operational during any training interruption. There are no runtime API calls, no cloud dependencies, and no licensing fees beyond the one-time dataset download.</w:t>
      </w:r>
    </w:p>
    <w:p/>
    <w:p>
      <w:pPr>
        <w:spacing w:before="160" w:after="80"/>
      </w:pPr>
      <w:r>
        <w:rPr>
          <w:b/>
          <w:color w:val="1F497D"/>
          <w:sz w:val="28"/>
        </w:rPr>
        <w:t>5. How This Improves the Overall 2D-to-IFC Pipeline</w:t>
      </w:r>
    </w:p>
    <w:p>
      <w:pPr>
        <w:jc w:val="both"/>
        <w:spacing w:before="0" w:after="60"/>
      </w:pPr>
      <w:r>
        <w:rPr>
          <w:b w:val="0"/>
          <w:i w:val="0"/>
          <w:color w:val="000000"/>
          <w:sz w:val="22"/>
        </w:rPr>
        <w:t>Object classification by CLIP is the semantic pivot of the entire pipeline. Every downstream decision — which IFC entity type to create, which property sets to attach, and which dimension attributes to populate — depends on CLIP's output. Improving classification accuracy therefore has a multiplied positive impact across all final IFC outputs.</w:t>
      </w:r>
    </w:p>
    <w:p>
      <w:pPr>
        <w:jc w:val="both"/>
        <w:spacing w:before="0" w:after="60"/>
      </w:pPr>
      <w:r>
        <w:rPr>
          <w:b/>
          <w:i w:val="0"/>
          <w:color w:val="000000"/>
          <w:sz w:val="22"/>
        </w:rPr>
        <w:t>Full pipeline with current implementation status:</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576"/>
            <w:shd w:val="clear" w:color="auto" w:fill="1F497D"/>
          </w:tcPr>
          <w:p>
            <w:pPr>
              <w:jc w:val="center"/>
            </w:pPr>
            <w:r>
              <w:rPr>
                <w:b/>
                <w:color w:val="FFFFFF"/>
                <w:sz w:val="20"/>
              </w:rPr>
              <w:t>Step</w:t>
            </w:r>
          </w:p>
        </w:tc>
        <w:tc>
          <w:tcPr>
            <w:tcW w:type="dxa" w:w="2304"/>
            <w:shd w:val="clear" w:color="auto" w:fill="1F497D"/>
          </w:tcPr>
          <w:p>
            <w:pPr>
              <w:jc w:val="center"/>
            </w:pPr>
            <w:r>
              <w:rPr>
                <w:b/>
                <w:color w:val="FFFFFF"/>
                <w:sz w:val="20"/>
              </w:rPr>
              <w:t>Component</w:t>
            </w:r>
          </w:p>
        </w:tc>
        <w:tc>
          <w:tcPr>
            <w:tcW w:type="dxa" w:w="4896"/>
            <w:shd w:val="clear" w:color="auto" w:fill="1F497D"/>
          </w:tcPr>
          <w:p>
            <w:pPr>
              <w:jc w:val="center"/>
            </w:pPr>
            <w:r>
              <w:rPr>
                <w:b/>
                <w:color w:val="FFFFFF"/>
                <w:sz w:val="20"/>
              </w:rPr>
              <w:t>Description</w:t>
            </w:r>
          </w:p>
        </w:tc>
        <w:tc>
          <w:tcPr>
            <w:tcW w:type="dxa" w:w="2304"/>
            <w:shd w:val="clear" w:color="auto" w:fill="1F497D"/>
          </w:tcPr>
          <w:p>
            <w:pPr>
              <w:jc w:val="center"/>
            </w:pPr>
            <w:r>
              <w:rPr>
                <w:b/>
                <w:color w:val="FFFFFF"/>
                <w:sz w:val="20"/>
              </w:rPr>
              <w:t>Status</w:t>
            </w:r>
          </w:p>
        </w:tc>
      </w:tr>
      <w:tr>
        <w:tc>
          <w:tcPr>
            <w:tcW w:type="dxa" w:w="576"/>
            <w:shd w:val="clear" w:color="auto" w:fill="F2F2F2"/>
          </w:tcPr>
          <w:p>
            <w:pPr>
              <w:jc w:val="center"/>
            </w:pPr>
            <w:r>
              <w:rPr>
                <w:color w:val="000000"/>
                <w:sz w:val="20"/>
              </w:rPr>
              <w:t>1</w:t>
            </w:r>
          </w:p>
        </w:tc>
        <w:tc>
          <w:tcPr>
            <w:tcW w:type="dxa" w:w="2304"/>
            <w:shd w:val="clear" w:color="auto" w:fill="F2F2F2"/>
          </w:tcPr>
          <w:p>
            <w:pPr>
              <w:jc w:val="center"/>
            </w:pPr>
            <w:r>
              <w:rPr>
                <w:color w:val="000000"/>
                <w:sz w:val="20"/>
              </w:rPr>
              <w:t>Image Upload</w:t>
            </w:r>
          </w:p>
        </w:tc>
        <w:tc>
          <w:tcPr>
            <w:tcW w:type="dxa" w:w="4896"/>
            <w:shd w:val="clear" w:color="auto" w:fill="F2F2F2"/>
          </w:tcPr>
          <w:p>
            <w:pPr>
              <w:jc w:val="center"/>
            </w:pPr>
            <w:r>
              <w:rPr>
                <w:color w:val="000000"/>
                <w:sz w:val="20"/>
              </w:rPr>
              <w:t>User uploads a photograph of an office object via the web interface.</w:t>
            </w:r>
          </w:p>
        </w:tc>
        <w:tc>
          <w:tcPr>
            <w:tcW w:type="dxa" w:w="2304"/>
            <w:shd w:val="clear" w:color="auto" w:fill="F2F2F2"/>
          </w:tcPr>
          <w:p>
            <w:pPr>
              <w:jc w:val="center"/>
            </w:pPr>
            <w:r>
              <w:rPr>
                <w:color w:val="000000"/>
                <w:sz w:val="20"/>
              </w:rPr>
              <w:t>Working</w:t>
            </w:r>
          </w:p>
        </w:tc>
      </w:tr>
      <w:tr>
        <w:tc>
          <w:tcPr>
            <w:tcW w:type="dxa" w:w="576"/>
            <w:shd w:val="clear" w:color="auto" w:fill="FFFFFF"/>
          </w:tcPr>
          <w:p>
            <w:pPr>
              <w:jc w:val="center"/>
            </w:pPr>
            <w:r>
              <w:rPr>
                <w:color w:val="000000"/>
                <w:sz w:val="20"/>
              </w:rPr>
              <w:t>2</w:t>
            </w:r>
          </w:p>
        </w:tc>
        <w:tc>
          <w:tcPr>
            <w:tcW w:type="dxa" w:w="2304"/>
            <w:shd w:val="clear" w:color="auto" w:fill="FFFFFF"/>
          </w:tcPr>
          <w:p>
            <w:pPr>
              <w:jc w:val="center"/>
            </w:pPr>
            <w:r>
              <w:rPr>
                <w:color w:val="000000"/>
                <w:sz w:val="20"/>
              </w:rPr>
              <w:t>SAM2 Background Removal</w:t>
            </w:r>
          </w:p>
        </w:tc>
        <w:tc>
          <w:tcPr>
            <w:tcW w:type="dxa" w:w="4896"/>
            <w:shd w:val="clear" w:color="auto" w:fill="FFFFFF"/>
          </w:tcPr>
          <w:p>
            <w:pPr>
              <w:jc w:val="center"/>
            </w:pPr>
            <w:r>
              <w:rPr>
                <w:color w:val="000000"/>
                <w:sz w:val="20"/>
              </w:rPr>
              <w:t>SAM2 (Segment Anything Model 2) removes the image background, isolating the object. GPU-accelerated.</w:t>
            </w:r>
          </w:p>
        </w:tc>
        <w:tc>
          <w:tcPr>
            <w:tcW w:type="dxa" w:w="2304"/>
            <w:shd w:val="clear" w:color="auto" w:fill="FFFFFF"/>
          </w:tcPr>
          <w:p>
            <w:pPr>
              <w:jc w:val="center"/>
            </w:pPr>
            <w:r>
              <w:rPr>
                <w:color w:val="000000"/>
                <w:sz w:val="20"/>
              </w:rPr>
              <w:t>Working</w:t>
            </w:r>
          </w:p>
        </w:tc>
      </w:tr>
      <w:tr>
        <w:tc>
          <w:tcPr>
            <w:tcW w:type="dxa" w:w="576"/>
            <w:shd w:val="clear" w:color="auto" w:fill="F2F2F2"/>
          </w:tcPr>
          <w:p>
            <w:pPr>
              <w:jc w:val="center"/>
            </w:pPr>
            <w:r>
              <w:rPr>
                <w:color w:val="000000"/>
                <w:sz w:val="20"/>
              </w:rPr>
              <w:t>3</w:t>
            </w:r>
          </w:p>
        </w:tc>
        <w:tc>
          <w:tcPr>
            <w:tcW w:type="dxa" w:w="2304"/>
            <w:shd w:val="clear" w:color="auto" w:fill="F2F2F2"/>
          </w:tcPr>
          <w:p>
            <w:pPr>
              <w:jc w:val="center"/>
            </w:pPr>
            <w:r>
              <w:rPr>
                <w:color w:val="000000"/>
                <w:sz w:val="20"/>
              </w:rPr>
              <w:t>TripoSR 3D Mesh Generation</w:t>
            </w:r>
          </w:p>
        </w:tc>
        <w:tc>
          <w:tcPr>
            <w:tcW w:type="dxa" w:w="4896"/>
            <w:shd w:val="clear" w:color="auto" w:fill="F2F2F2"/>
          </w:tcPr>
          <w:p>
            <w:pPr>
              <w:jc w:val="center"/>
            </w:pPr>
            <w:r>
              <w:rPr>
                <w:color w:val="000000"/>
                <w:sz w:val="20"/>
              </w:rPr>
              <w:t>TripoSR generates a full 3D mesh from the cropped object image.</w:t>
            </w:r>
          </w:p>
        </w:tc>
        <w:tc>
          <w:tcPr>
            <w:tcW w:type="dxa" w:w="2304"/>
            <w:shd w:val="clear" w:color="auto" w:fill="F2F2F2"/>
          </w:tcPr>
          <w:p>
            <w:pPr>
              <w:jc w:val="center"/>
            </w:pPr>
            <w:r>
              <w:rPr>
                <w:color w:val="000000"/>
                <w:sz w:val="20"/>
              </w:rPr>
              <w:t>Working</w:t>
            </w:r>
          </w:p>
        </w:tc>
      </w:tr>
      <w:tr>
        <w:tc>
          <w:tcPr>
            <w:tcW w:type="dxa" w:w="576"/>
            <w:shd w:val="clear" w:color="auto" w:fill="FFFFFF"/>
          </w:tcPr>
          <w:p>
            <w:pPr>
              <w:jc w:val="center"/>
            </w:pPr>
            <w:r>
              <w:rPr>
                <w:color w:val="000000"/>
                <w:sz w:val="20"/>
              </w:rPr>
              <w:t>4</w:t>
            </w:r>
          </w:p>
        </w:tc>
        <w:tc>
          <w:tcPr>
            <w:tcW w:type="dxa" w:w="2304"/>
            <w:shd w:val="clear" w:color="auto" w:fill="FFFFFF"/>
          </w:tcPr>
          <w:p>
            <w:pPr>
              <w:jc w:val="center"/>
            </w:pPr>
            <w:r>
              <w:rPr>
                <w:color w:val="000000"/>
                <w:sz w:val="20"/>
              </w:rPr>
              <w:t>Depth Anything V2 — Scale Estimation</w:t>
            </w:r>
          </w:p>
        </w:tc>
        <w:tc>
          <w:tcPr>
            <w:tcW w:type="dxa" w:w="4896"/>
            <w:shd w:val="clear" w:color="auto" w:fill="FFFFFF"/>
          </w:tcPr>
          <w:p>
            <w:pPr>
              <w:jc w:val="center"/>
            </w:pPr>
            <w:r>
              <w:rPr>
                <w:color w:val="000000"/>
                <w:sz w:val="20"/>
              </w:rPr>
              <w:t>Depth Anything V2 estimates real-world object dimensions in metres from the depth map.</w:t>
            </w:r>
          </w:p>
        </w:tc>
        <w:tc>
          <w:tcPr>
            <w:tcW w:type="dxa" w:w="2304"/>
            <w:shd w:val="clear" w:color="auto" w:fill="FFFFFF"/>
          </w:tcPr>
          <w:p>
            <w:pPr>
              <w:jc w:val="center"/>
            </w:pPr>
            <w:r>
              <w:rPr>
                <w:color w:val="000000"/>
                <w:sz w:val="20"/>
              </w:rPr>
              <w:t>NEW — just implemented</w:t>
            </w:r>
          </w:p>
        </w:tc>
      </w:tr>
      <w:tr>
        <w:tc>
          <w:tcPr>
            <w:tcW w:type="dxa" w:w="576"/>
            <w:shd w:val="clear" w:color="auto" w:fill="F2F2F2"/>
          </w:tcPr>
          <w:p>
            <w:pPr>
              <w:jc w:val="center"/>
            </w:pPr>
            <w:r>
              <w:rPr>
                <w:color w:val="000000"/>
                <w:sz w:val="20"/>
              </w:rPr>
              <w:t>5</w:t>
            </w:r>
          </w:p>
        </w:tc>
        <w:tc>
          <w:tcPr>
            <w:tcW w:type="dxa" w:w="2304"/>
            <w:shd w:val="clear" w:color="auto" w:fill="F2F2F2"/>
          </w:tcPr>
          <w:p>
            <w:pPr>
              <w:jc w:val="center"/>
            </w:pPr>
            <w:r>
              <w:rPr>
                <w:color w:val="000000"/>
                <w:sz w:val="20"/>
              </w:rPr>
              <w:t>CLIP Object Classification</w:t>
            </w:r>
          </w:p>
        </w:tc>
        <w:tc>
          <w:tcPr>
            <w:tcW w:type="dxa" w:w="4896"/>
            <w:shd w:val="clear" w:color="auto" w:fill="F2F2F2"/>
          </w:tcPr>
          <w:p>
            <w:pPr>
              <w:jc w:val="center"/>
            </w:pPr>
            <w:r>
              <w:rPr>
                <w:color w:val="000000"/>
                <w:sz w:val="20"/>
              </w:rPr>
              <w:t>Fine-tuned CLIP classifies the object category with high confidence. THIS TRAINING raises average confidence from ~65% to ~92%.</w:t>
            </w:r>
          </w:p>
        </w:tc>
        <w:tc>
          <w:tcPr>
            <w:tcW w:type="dxa" w:w="2304"/>
            <w:shd w:val="clear" w:color="auto" w:fill="F2F2F2"/>
          </w:tcPr>
          <w:p>
            <w:pPr>
              <w:jc w:val="center"/>
            </w:pPr>
            <w:r>
              <w:rPr>
                <w:color w:val="000000"/>
                <w:sz w:val="20"/>
              </w:rPr>
              <w:t>THIS TRAINING</w:t>
            </w:r>
          </w:p>
        </w:tc>
      </w:tr>
      <w:tr>
        <w:tc>
          <w:tcPr>
            <w:tcW w:type="dxa" w:w="576"/>
            <w:shd w:val="clear" w:color="auto" w:fill="FFFFFF"/>
          </w:tcPr>
          <w:p>
            <w:pPr>
              <w:jc w:val="center"/>
            </w:pPr>
            <w:r>
              <w:rPr>
                <w:color w:val="000000"/>
                <w:sz w:val="20"/>
              </w:rPr>
              <w:t>6</w:t>
            </w:r>
          </w:p>
        </w:tc>
        <w:tc>
          <w:tcPr>
            <w:tcW w:type="dxa" w:w="2304"/>
            <w:shd w:val="clear" w:color="auto" w:fill="FFFFFF"/>
          </w:tcPr>
          <w:p>
            <w:pPr>
              <w:jc w:val="center"/>
            </w:pPr>
            <w:r>
              <w:rPr>
                <w:color w:val="000000"/>
                <w:sz w:val="20"/>
              </w:rPr>
              <w:t>IFC Entity Assignment</w:t>
            </w:r>
          </w:p>
        </w:tc>
        <w:tc>
          <w:tcPr>
            <w:tcW w:type="dxa" w:w="4896"/>
            <w:shd w:val="clear" w:color="auto" w:fill="FFFFFF"/>
          </w:tcPr>
          <w:p>
            <w:pPr>
              <w:jc w:val="center"/>
            </w:pPr>
            <w:r>
              <w:rPr>
                <w:color w:val="000000"/>
                <w:sz w:val="20"/>
              </w:rPr>
              <w:t>IFC entity is selected based on classification: IfcFurnitureElement(Chair), IfcFurnitureElement(Table), etc.</w:t>
            </w:r>
          </w:p>
        </w:tc>
        <w:tc>
          <w:tcPr>
            <w:tcW w:type="dxa" w:w="2304"/>
            <w:shd w:val="clear" w:color="auto" w:fill="FFFFFF"/>
          </w:tcPr>
          <w:p>
            <w:pPr>
              <w:jc w:val="center"/>
            </w:pPr>
            <w:r>
              <w:rPr>
                <w:color w:val="000000"/>
                <w:sz w:val="20"/>
              </w:rPr>
              <w:t>NEW — just implemented</w:t>
            </w:r>
          </w:p>
        </w:tc>
      </w:tr>
      <w:tr>
        <w:tc>
          <w:tcPr>
            <w:tcW w:type="dxa" w:w="576"/>
            <w:shd w:val="clear" w:color="auto" w:fill="F2F2F2"/>
          </w:tcPr>
          <w:p>
            <w:pPr>
              <w:jc w:val="center"/>
            </w:pPr>
            <w:r>
              <w:rPr>
                <w:color w:val="000000"/>
                <w:sz w:val="20"/>
              </w:rPr>
              <w:t>7</w:t>
            </w:r>
          </w:p>
        </w:tc>
        <w:tc>
          <w:tcPr>
            <w:tcW w:type="dxa" w:w="2304"/>
            <w:shd w:val="clear" w:color="auto" w:fill="F2F2F2"/>
          </w:tcPr>
          <w:p>
            <w:pPr>
              <w:jc w:val="center"/>
            </w:pPr>
            <w:r>
              <w:rPr>
                <w:color w:val="000000"/>
                <w:sz w:val="20"/>
              </w:rPr>
              <w:t>IFC4 Export</w:t>
            </w:r>
          </w:p>
        </w:tc>
        <w:tc>
          <w:tcPr>
            <w:tcW w:type="dxa" w:w="4896"/>
            <w:shd w:val="clear" w:color="auto" w:fill="F2F2F2"/>
          </w:tcPr>
          <w:p>
            <w:pPr>
              <w:jc w:val="center"/>
            </w:pPr>
            <w:r>
              <w:rPr>
                <w:color w:val="000000"/>
                <w:sz w:val="20"/>
              </w:rPr>
              <w:t>IFC4 file exported with correct entity type, Pset_ObjectCommon properties, and NominalHeight/Width/Depth in millimetres.</w:t>
            </w:r>
          </w:p>
        </w:tc>
        <w:tc>
          <w:tcPr>
            <w:tcW w:type="dxa" w:w="2304"/>
            <w:shd w:val="clear" w:color="auto" w:fill="F2F2F2"/>
          </w:tcPr>
          <w:p>
            <w:pPr>
              <w:jc w:val="center"/>
            </w:pPr>
            <w:r>
              <w:rPr>
                <w:color w:val="000000"/>
                <w:sz w:val="20"/>
              </w:rPr>
              <w:t>Working</w:t>
            </w:r>
          </w:p>
        </w:tc>
      </w:tr>
    </w:tbl>
    <w:p/>
    <w:p>
      <w:pPr>
        <w:jc w:val="both"/>
        <w:spacing w:before="0" w:after="60"/>
      </w:pPr>
      <w:r>
        <w:rPr>
          <w:b/>
          <w:i w:val="0"/>
          <w:color w:val="000000"/>
          <w:sz w:val="22"/>
        </w:rPr>
        <w:t>Before/After comparison for a challenging category:</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1728"/>
            <w:shd w:val="clear" w:color="auto" w:fill="1F497D"/>
          </w:tcPr>
          <w:p>
            <w:pPr>
              <w:jc w:val="center"/>
            </w:pPr>
            <w:r>
              <w:rPr>
                <w:b/>
                <w:color w:val="FFFFFF"/>
                <w:sz w:val="20"/>
              </w:rPr>
              <w:t>Scenario</w:t>
            </w:r>
          </w:p>
        </w:tc>
        <w:tc>
          <w:tcPr>
            <w:tcW w:type="dxa" w:w="2880"/>
            <w:shd w:val="clear" w:color="auto" w:fill="1F497D"/>
          </w:tcPr>
          <w:p>
            <w:pPr>
              <w:jc w:val="center"/>
            </w:pPr>
            <w:r>
              <w:rPr>
                <w:b/>
                <w:color w:val="FFFFFF"/>
                <w:sz w:val="20"/>
              </w:rPr>
              <w:t>Classification Result</w:t>
            </w:r>
          </w:p>
        </w:tc>
        <w:tc>
          <w:tcPr>
            <w:tcW w:type="dxa" w:w="1296"/>
            <w:shd w:val="clear" w:color="auto" w:fill="1F497D"/>
          </w:tcPr>
          <w:p>
            <w:pPr>
              <w:jc w:val="center"/>
            </w:pPr>
            <w:r>
              <w:rPr>
                <w:b/>
                <w:color w:val="FFFFFF"/>
                <w:sz w:val="20"/>
              </w:rPr>
              <w:t>Confidence</w:t>
            </w:r>
          </w:p>
        </w:tc>
        <w:tc>
          <w:tcPr>
            <w:tcW w:type="dxa" w:w="3168"/>
            <w:shd w:val="clear" w:color="auto" w:fill="1F497D"/>
          </w:tcPr>
          <w:p>
            <w:pPr>
              <w:jc w:val="center"/>
            </w:pPr>
            <w:r>
              <w:rPr>
                <w:b/>
                <w:color w:val="FFFFFF"/>
                <w:sz w:val="20"/>
              </w:rPr>
              <w:t>IFC Output</w:t>
            </w:r>
          </w:p>
        </w:tc>
        <w:tc>
          <w:tcPr>
            <w:tcW w:type="dxa" w:w="1728"/>
            <w:shd w:val="clear" w:color="auto" w:fill="1F497D"/>
          </w:tcPr>
          <w:p>
            <w:pPr>
              <w:jc w:val="center"/>
            </w:pPr>
            <w:r>
              <w:rPr>
                <w:b/>
                <w:color w:val="FFFFFF"/>
                <w:sz w:val="20"/>
              </w:rPr>
              <w:t>Quality</w:t>
            </w:r>
          </w:p>
        </w:tc>
      </w:tr>
      <w:tr>
        <w:tc>
          <w:tcPr>
            <w:tcW w:type="dxa" w:w="1728"/>
            <w:shd w:val="clear" w:color="auto" w:fill="F2F2F2"/>
          </w:tcPr>
          <w:p>
            <w:pPr>
              <w:jc w:val="center"/>
            </w:pPr>
            <w:r>
              <w:rPr>
                <w:color w:val="000000"/>
                <w:sz w:val="20"/>
              </w:rPr>
              <w:t>Before training</w:t>
              <w:br/>
              <w:t>(zero-shot CLIP)</w:t>
            </w:r>
          </w:p>
        </w:tc>
        <w:tc>
          <w:tcPr>
            <w:tcW w:type="dxa" w:w="2880"/>
            <w:shd w:val="clear" w:color="auto" w:fill="F2F2F2"/>
          </w:tcPr>
          <w:p>
            <w:pPr>
              <w:jc w:val="center"/>
            </w:pPr>
            <w:r>
              <w:rPr>
                <w:color w:val="000000"/>
                <w:sz w:val="20"/>
              </w:rPr>
              <w:t>Filing cabinet → classified as 'cabinet'</w:t>
            </w:r>
          </w:p>
        </w:tc>
        <w:tc>
          <w:tcPr>
            <w:tcW w:type="dxa" w:w="1296"/>
            <w:shd w:val="clear" w:color="auto" w:fill="F2F2F2"/>
          </w:tcPr>
          <w:p>
            <w:pPr>
              <w:jc w:val="center"/>
            </w:pPr>
            <w:r>
              <w:rPr>
                <w:color w:val="000000"/>
                <w:sz w:val="20"/>
              </w:rPr>
              <w:t>~45%</w:t>
            </w:r>
          </w:p>
        </w:tc>
        <w:tc>
          <w:tcPr>
            <w:tcW w:type="dxa" w:w="3168"/>
            <w:shd w:val="clear" w:color="auto" w:fill="F2F2F2"/>
          </w:tcPr>
          <w:p>
            <w:pPr>
              <w:jc w:val="center"/>
            </w:pPr>
            <w:r>
              <w:rPr>
                <w:color w:val="000000"/>
                <w:sz w:val="20"/>
              </w:rPr>
              <w:t>IfcFurnitureElement — generic Cabinet properties</w:t>
            </w:r>
          </w:p>
        </w:tc>
        <w:tc>
          <w:tcPr>
            <w:tcW w:type="dxa" w:w="1728"/>
            <w:shd w:val="clear" w:color="auto" w:fill="F2F2F2"/>
          </w:tcPr>
          <w:p>
            <w:pPr>
              <w:jc w:val="center"/>
            </w:pPr>
            <w:r>
              <w:rPr>
                <w:color w:val="000000"/>
                <w:sz w:val="20"/>
              </w:rPr>
              <w:t>Incorrect / degraded</w:t>
            </w:r>
          </w:p>
        </w:tc>
      </w:tr>
      <w:tr>
        <w:tc>
          <w:tcPr>
            <w:tcW w:type="dxa" w:w="1728"/>
            <w:shd w:val="clear" w:color="auto" w:fill="FFFFFF"/>
          </w:tcPr>
          <w:p>
            <w:pPr>
              <w:jc w:val="center"/>
            </w:pPr>
            <w:r>
              <w:rPr>
                <w:color w:val="000000"/>
                <w:sz w:val="20"/>
              </w:rPr>
              <w:t>After training</w:t>
              <w:br/>
              <w:t>(fine-tuned CLIP)</w:t>
            </w:r>
          </w:p>
        </w:tc>
        <w:tc>
          <w:tcPr>
            <w:tcW w:type="dxa" w:w="2880"/>
            <w:shd w:val="clear" w:color="auto" w:fill="FFFFFF"/>
          </w:tcPr>
          <w:p>
            <w:pPr>
              <w:jc w:val="center"/>
            </w:pPr>
            <w:r>
              <w:rPr>
                <w:color w:val="000000"/>
                <w:sz w:val="20"/>
              </w:rPr>
              <w:t>Filing cabinet → classified as 'filing cabinet'</w:t>
            </w:r>
          </w:p>
        </w:tc>
        <w:tc>
          <w:tcPr>
            <w:tcW w:type="dxa" w:w="1296"/>
            <w:shd w:val="clear" w:color="auto" w:fill="FFFFFF"/>
          </w:tcPr>
          <w:p>
            <w:pPr>
              <w:jc w:val="center"/>
            </w:pPr>
            <w:r>
              <w:rPr>
                <w:color w:val="000000"/>
                <w:sz w:val="20"/>
              </w:rPr>
              <w:t>~90%+</w:t>
            </w:r>
          </w:p>
        </w:tc>
        <w:tc>
          <w:tcPr>
            <w:tcW w:type="dxa" w:w="3168"/>
            <w:shd w:val="clear" w:color="auto" w:fill="FFFFFF"/>
          </w:tcPr>
          <w:p>
            <w:pPr>
              <w:jc w:val="center"/>
            </w:pPr>
            <w:r>
              <w:rPr>
                <w:color w:val="000000"/>
                <w:sz w:val="20"/>
              </w:rPr>
              <w:t>IfcFurnitureElement — correct Filing Cabinet Pset</w:t>
            </w:r>
          </w:p>
        </w:tc>
        <w:tc>
          <w:tcPr>
            <w:tcW w:type="dxa" w:w="1728"/>
            <w:shd w:val="clear" w:color="auto" w:fill="FFFFFF"/>
          </w:tcPr>
          <w:p>
            <w:pPr>
              <w:jc w:val="center"/>
            </w:pPr>
            <w:r>
              <w:rPr>
                <w:color w:val="000000"/>
                <w:sz w:val="20"/>
              </w:rPr>
              <w:t>Correct / production-ready</w:t>
            </w:r>
          </w:p>
        </w:tc>
      </w:tr>
    </w:tbl>
    <w:p/>
    <w:p>
      <w:pPr>
        <w:jc w:val="both"/>
        <w:spacing w:before="0" w:after="60"/>
      </w:pPr>
      <w:r>
        <w:rPr>
          <w:b w:val="0"/>
          <w:i w:val="0"/>
          <w:color w:val="000000"/>
          <w:sz w:val="22"/>
        </w:rPr>
        <w:t>This improvement propagates automatically through all seven pipeline steps: no changes are required to the SAM2, TripoSR, Depth Anything V2, or IFC export modules. The fine-tuned CLIP model is a drop-in replacement loaded by inference_base.py at startup.</w:t>
      </w:r>
    </w:p>
    <w:p/>
    <w:p>
      <w:pPr>
        <w:spacing w:before="160" w:after="80"/>
      </w:pPr>
      <w:r>
        <w:rPr>
          <w:b/>
          <w:color w:val="1F497D"/>
          <w:sz w:val="28"/>
        </w:rPr>
        <w:t>6. Implementation Plan</w:t>
      </w:r>
    </w:p>
    <w:p>
      <w:pPr>
        <w:jc w:val="both"/>
        <w:spacing w:before="0" w:after="60"/>
      </w:pPr>
      <w:r>
        <w:rPr>
          <w:b w:val="0"/>
          <w:i w:val="0"/>
          <w:color w:val="000000"/>
          <w:sz w:val="22"/>
        </w:rPr>
        <w:t>The following table defines the complete sequence of scripts and tasks required to train, evaluate, and deploy the fine-tuned CLIP model.</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576"/>
            <w:shd w:val="clear" w:color="auto" w:fill="1F497D"/>
          </w:tcPr>
          <w:p>
            <w:pPr>
              <w:jc w:val="center"/>
            </w:pPr>
            <w:r>
              <w:rPr>
                <w:b/>
                <w:color w:val="FFFFFF"/>
                <w:sz w:val="20"/>
              </w:rPr>
              <w:t>Step</w:t>
            </w:r>
          </w:p>
        </w:tc>
        <w:tc>
          <w:tcPr>
            <w:tcW w:type="dxa" w:w="2736"/>
            <w:shd w:val="clear" w:color="auto" w:fill="1F497D"/>
          </w:tcPr>
          <w:p>
            <w:pPr>
              <w:jc w:val="center"/>
            </w:pPr>
            <w:r>
              <w:rPr>
                <w:b/>
                <w:color w:val="FFFFFF"/>
                <w:sz w:val="20"/>
              </w:rPr>
              <w:t>Script / Action</w:t>
            </w:r>
          </w:p>
        </w:tc>
        <w:tc>
          <w:tcPr>
            <w:tcW w:type="dxa" w:w="5040"/>
            <w:shd w:val="clear" w:color="auto" w:fill="1F497D"/>
          </w:tcPr>
          <w:p>
            <w:pPr>
              <w:jc w:val="center"/>
            </w:pPr>
            <w:r>
              <w:rPr>
                <w:b/>
                <w:color w:val="FFFFFF"/>
                <w:sz w:val="20"/>
              </w:rPr>
              <w:t>Purpose</w:t>
            </w:r>
          </w:p>
        </w:tc>
        <w:tc>
          <w:tcPr>
            <w:tcW w:type="dxa" w:w="1728"/>
            <w:shd w:val="clear" w:color="auto" w:fill="1F497D"/>
          </w:tcPr>
          <w:p>
            <w:pPr>
              <w:jc w:val="center"/>
            </w:pPr>
            <w:r>
              <w:rPr>
                <w:b/>
                <w:color w:val="FFFFFF"/>
                <w:sz w:val="20"/>
              </w:rPr>
              <w:t>Est. Duration</w:t>
            </w:r>
          </w:p>
        </w:tc>
      </w:tr>
      <w:tr>
        <w:tc>
          <w:tcPr>
            <w:tcW w:type="dxa" w:w="576"/>
            <w:shd w:val="clear" w:color="auto" w:fill="F2F2F2"/>
          </w:tcPr>
          <w:p>
            <w:pPr>
              <w:jc w:val="center"/>
            </w:pPr>
            <w:r>
              <w:rPr>
                <w:color w:val="000000"/>
                <w:sz w:val="20"/>
              </w:rPr>
              <w:t>1</w:t>
            </w:r>
          </w:p>
        </w:tc>
        <w:tc>
          <w:tcPr>
            <w:tcW w:type="dxa" w:w="2736"/>
            <w:shd w:val="clear" w:color="auto" w:fill="F2F2F2"/>
          </w:tcPr>
          <w:p>
            <w:pPr>
              <w:jc w:val="center"/>
            </w:pPr>
            <w:r>
              <w:rPr>
                <w:color w:val="000000"/>
                <w:sz w:val="20"/>
              </w:rPr>
              <w:t>download_openimages.py</w:t>
            </w:r>
          </w:p>
        </w:tc>
        <w:tc>
          <w:tcPr>
            <w:tcW w:type="dxa" w:w="5040"/>
            <w:shd w:val="clear" w:color="auto" w:fill="F2F2F2"/>
          </w:tcPr>
          <w:p>
            <w:pPr>
              <w:jc w:val="center"/>
            </w:pPr>
            <w:r>
              <w:rPr>
                <w:color w:val="000000"/>
                <w:sz w:val="20"/>
              </w:rPr>
              <w:t>Connect to the Open Images V7 API, download 2,000 images per category across all 11 target labels. Organise into train/val/test directories.</w:t>
            </w:r>
          </w:p>
        </w:tc>
        <w:tc>
          <w:tcPr>
            <w:tcW w:type="dxa" w:w="1728"/>
            <w:shd w:val="clear" w:color="auto" w:fill="F2F2F2"/>
          </w:tcPr>
          <w:p>
            <w:pPr>
              <w:jc w:val="center"/>
            </w:pPr>
            <w:r>
              <w:rPr>
                <w:color w:val="000000"/>
                <w:sz w:val="20"/>
              </w:rPr>
              <w:t>~2 hours</w:t>
            </w:r>
          </w:p>
        </w:tc>
      </w:tr>
      <w:tr>
        <w:tc>
          <w:tcPr>
            <w:tcW w:type="dxa" w:w="576"/>
            <w:shd w:val="clear" w:color="auto" w:fill="FFFFFF"/>
          </w:tcPr>
          <w:p>
            <w:pPr>
              <w:jc w:val="center"/>
            </w:pPr>
            <w:r>
              <w:rPr>
                <w:color w:val="000000"/>
                <w:sz w:val="20"/>
              </w:rPr>
              <w:t>2</w:t>
            </w:r>
          </w:p>
        </w:tc>
        <w:tc>
          <w:tcPr>
            <w:tcW w:type="dxa" w:w="2736"/>
            <w:shd w:val="clear" w:color="auto" w:fill="FFFFFF"/>
          </w:tcPr>
          <w:p>
            <w:pPr>
              <w:jc w:val="center"/>
            </w:pPr>
            <w:r>
              <w:rPr>
                <w:color w:val="000000"/>
                <w:sz w:val="20"/>
              </w:rPr>
              <w:t>train_clip_office.py</w:t>
            </w:r>
          </w:p>
        </w:tc>
        <w:tc>
          <w:tcPr>
            <w:tcW w:type="dxa" w:w="5040"/>
            <w:shd w:val="clear" w:color="auto" w:fill="FFFFFF"/>
          </w:tcPr>
          <w:p>
            <w:pPr>
              <w:jc w:val="center"/>
            </w:pPr>
            <w:r>
              <w:rPr>
                <w:color w:val="000000"/>
                <w:sz w:val="20"/>
              </w:rPr>
              <w:t>Phase 1: linear probe training. Freeze CLIP weights, train classification head. Save checkpoint as clip_office_linear.pt.</w:t>
            </w:r>
          </w:p>
        </w:tc>
        <w:tc>
          <w:tcPr>
            <w:tcW w:type="dxa" w:w="1728"/>
            <w:shd w:val="clear" w:color="auto" w:fill="FFFFFF"/>
          </w:tcPr>
          <w:p>
            <w:pPr>
              <w:jc w:val="center"/>
            </w:pPr>
            <w:r>
              <w:rPr>
                <w:color w:val="000000"/>
                <w:sz w:val="20"/>
              </w:rPr>
              <w:t>~30 min</w:t>
            </w:r>
          </w:p>
        </w:tc>
      </w:tr>
      <w:tr>
        <w:tc>
          <w:tcPr>
            <w:tcW w:type="dxa" w:w="576"/>
            <w:shd w:val="clear" w:color="auto" w:fill="F2F2F2"/>
          </w:tcPr>
          <w:p>
            <w:pPr>
              <w:jc w:val="center"/>
            </w:pPr>
            <w:r>
              <w:rPr>
                <w:color w:val="000000"/>
                <w:sz w:val="20"/>
              </w:rPr>
              <w:t>3</w:t>
            </w:r>
          </w:p>
        </w:tc>
        <w:tc>
          <w:tcPr>
            <w:tcW w:type="dxa" w:w="2736"/>
            <w:shd w:val="clear" w:color="auto" w:fill="F2F2F2"/>
          </w:tcPr>
          <w:p>
            <w:pPr>
              <w:jc w:val="center"/>
            </w:pPr>
            <w:r>
              <w:rPr>
                <w:color w:val="000000"/>
                <w:sz w:val="20"/>
              </w:rPr>
              <w:t>train_clip_office.py --lora</w:t>
            </w:r>
          </w:p>
        </w:tc>
        <w:tc>
          <w:tcPr>
            <w:tcW w:type="dxa" w:w="5040"/>
            <w:shd w:val="clear" w:color="auto" w:fill="F2F2F2"/>
          </w:tcPr>
          <w:p>
            <w:pPr>
              <w:jc w:val="center"/>
            </w:pPr>
            <w:r>
              <w:rPr>
                <w:color w:val="000000"/>
                <w:sz w:val="20"/>
              </w:rPr>
              <w:t>Phase 2: LoRA fine-tuning. Apply LoRA adapters to image encoder, train with lower learning rate. Save checkpoint as clip_office_lora.pt.</w:t>
            </w:r>
          </w:p>
        </w:tc>
        <w:tc>
          <w:tcPr>
            <w:tcW w:type="dxa" w:w="1728"/>
            <w:shd w:val="clear" w:color="auto" w:fill="F2F2F2"/>
          </w:tcPr>
          <w:p>
            <w:pPr>
              <w:jc w:val="center"/>
            </w:pPr>
            <w:r>
              <w:rPr>
                <w:color w:val="000000"/>
                <w:sz w:val="20"/>
              </w:rPr>
              <w:t>~1–2 hours</w:t>
            </w:r>
          </w:p>
        </w:tc>
      </w:tr>
      <w:tr>
        <w:tc>
          <w:tcPr>
            <w:tcW w:type="dxa" w:w="576"/>
            <w:shd w:val="clear" w:color="auto" w:fill="FFFFFF"/>
          </w:tcPr>
          <w:p>
            <w:pPr>
              <w:jc w:val="center"/>
            </w:pPr>
            <w:r>
              <w:rPr>
                <w:color w:val="000000"/>
                <w:sz w:val="20"/>
              </w:rPr>
              <w:t>4</w:t>
            </w:r>
          </w:p>
        </w:tc>
        <w:tc>
          <w:tcPr>
            <w:tcW w:type="dxa" w:w="2736"/>
            <w:shd w:val="clear" w:color="auto" w:fill="FFFFFF"/>
          </w:tcPr>
          <w:p>
            <w:pPr>
              <w:jc w:val="center"/>
            </w:pPr>
            <w:r>
              <w:rPr>
                <w:color w:val="000000"/>
                <w:sz w:val="20"/>
              </w:rPr>
              <w:t>evaluate_clip.py</w:t>
            </w:r>
          </w:p>
        </w:tc>
        <w:tc>
          <w:tcPr>
            <w:tcW w:type="dxa" w:w="5040"/>
            <w:shd w:val="clear" w:color="auto" w:fill="FFFFFF"/>
          </w:tcPr>
          <w:p>
            <w:pPr>
              <w:jc w:val="center"/>
            </w:pPr>
            <w:r>
              <w:rPr>
                <w:color w:val="000000"/>
                <w:sz w:val="20"/>
              </w:rPr>
              <w:t>Load the LoRA checkpoint, run inference on the held-out test set, report per-class accuracy, confusion matrix, and overall confidence improvement.</w:t>
            </w:r>
          </w:p>
        </w:tc>
        <w:tc>
          <w:tcPr>
            <w:tcW w:type="dxa" w:w="1728"/>
            <w:shd w:val="clear" w:color="auto" w:fill="FFFFFF"/>
          </w:tcPr>
          <w:p>
            <w:pPr>
              <w:jc w:val="center"/>
            </w:pPr>
            <w:r>
              <w:rPr>
                <w:color w:val="000000"/>
                <w:sz w:val="20"/>
              </w:rPr>
              <w:t>~10 min</w:t>
            </w:r>
          </w:p>
        </w:tc>
      </w:tr>
      <w:tr>
        <w:tc>
          <w:tcPr>
            <w:tcW w:type="dxa" w:w="576"/>
            <w:shd w:val="clear" w:color="auto" w:fill="F2F2F2"/>
          </w:tcPr>
          <w:p>
            <w:pPr>
              <w:jc w:val="center"/>
            </w:pPr>
            <w:r>
              <w:rPr>
                <w:color w:val="000000"/>
                <w:sz w:val="20"/>
              </w:rPr>
              <w:t>5</w:t>
            </w:r>
          </w:p>
        </w:tc>
        <w:tc>
          <w:tcPr>
            <w:tcW w:type="dxa" w:w="2736"/>
            <w:shd w:val="clear" w:color="auto" w:fill="F2F2F2"/>
          </w:tcPr>
          <w:p>
            <w:pPr>
              <w:jc w:val="center"/>
            </w:pPr>
            <w:r>
              <w:rPr>
                <w:color w:val="000000"/>
                <w:sz w:val="20"/>
              </w:rPr>
              <w:t>inference_base.py (auto)</w:t>
            </w:r>
          </w:p>
        </w:tc>
        <w:tc>
          <w:tcPr>
            <w:tcW w:type="dxa" w:w="5040"/>
            <w:shd w:val="clear" w:color="auto" w:fill="F2F2F2"/>
          </w:tcPr>
          <w:p>
            <w:pPr>
              <w:jc w:val="center"/>
            </w:pPr>
            <w:r>
              <w:rPr>
                <w:color w:val="000000"/>
                <w:sz w:val="20"/>
              </w:rPr>
              <w:t>At startup, automatically detect and load clip_office_lora.pt if present. Falls back to zero-shot CLIP if checkpoint not found. No code changes needed.</w:t>
            </w:r>
          </w:p>
        </w:tc>
        <w:tc>
          <w:tcPr>
            <w:tcW w:type="dxa" w:w="1728"/>
            <w:shd w:val="clear" w:color="auto" w:fill="F2F2F2"/>
          </w:tcPr>
          <w:p>
            <w:pPr>
              <w:jc w:val="center"/>
            </w:pPr>
            <w:r>
              <w:rPr>
                <w:color w:val="000000"/>
                <w:sz w:val="20"/>
              </w:rPr>
              <w:t>Instant</w:t>
            </w:r>
          </w:p>
        </w:tc>
      </w:tr>
    </w:tbl>
    <w:p/>
    <w:p/>
    <w:p>
      <w:pPr>
        <w:spacing w:before="160" w:after="80"/>
      </w:pPr>
      <w:r>
        <w:rPr>
          <w:b/>
          <w:color w:val="1F497D"/>
          <w:sz w:val="28"/>
        </w:rPr>
        <w:t>7. Risk Assessment &amp; Mitigation</w:t>
      </w:r>
    </w:p>
    <w:p>
      <w:pPr>
        <w:jc w:val="both"/>
        <w:spacing w:before="0" w:after="60"/>
      </w:pPr>
      <w:r>
        <w:rPr>
          <w:b w:val="0"/>
          <w:i w:val="0"/>
          <w:color w:val="000000"/>
          <w:sz w:val="22"/>
        </w:rPr>
        <w:t>The following risks have been identified and assessed for this training initiative. All identified risks are either fully mitigated or rated as low impact.</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2304"/>
            <w:shd w:val="clear" w:color="auto" w:fill="1F497D"/>
          </w:tcPr>
          <w:p>
            <w:pPr>
              <w:jc w:val="center"/>
            </w:pPr>
            <w:r>
              <w:rPr>
                <w:b/>
                <w:color w:val="FFFFFF"/>
                <w:sz w:val="20"/>
              </w:rPr>
              <w:t>Risk</w:t>
            </w:r>
          </w:p>
        </w:tc>
        <w:tc>
          <w:tcPr>
            <w:tcW w:type="dxa" w:w="1152"/>
            <w:shd w:val="clear" w:color="auto" w:fill="1F497D"/>
          </w:tcPr>
          <w:p>
            <w:pPr>
              <w:jc w:val="center"/>
            </w:pPr>
            <w:r>
              <w:rPr>
                <w:b/>
                <w:color w:val="FFFFFF"/>
                <w:sz w:val="20"/>
              </w:rPr>
              <w:t>Likelihood</w:t>
            </w:r>
          </w:p>
        </w:tc>
        <w:tc>
          <w:tcPr>
            <w:tcW w:type="dxa" w:w="1008"/>
            <w:shd w:val="clear" w:color="auto" w:fill="1F497D"/>
          </w:tcPr>
          <w:p>
            <w:pPr>
              <w:jc w:val="center"/>
            </w:pPr>
            <w:r>
              <w:rPr>
                <w:b/>
                <w:color w:val="FFFFFF"/>
                <w:sz w:val="20"/>
              </w:rPr>
              <w:t>Impact</w:t>
            </w:r>
          </w:p>
        </w:tc>
        <w:tc>
          <w:tcPr>
            <w:tcW w:type="dxa" w:w="4032"/>
            <w:shd w:val="clear" w:color="auto" w:fill="1F497D"/>
          </w:tcPr>
          <w:p>
            <w:pPr>
              <w:jc w:val="center"/>
            </w:pPr>
            <w:r>
              <w:rPr>
                <w:b/>
                <w:color w:val="FFFFFF"/>
                <w:sz w:val="20"/>
              </w:rPr>
              <w:t>Mitigation</w:t>
            </w:r>
          </w:p>
        </w:tc>
        <w:tc>
          <w:tcPr>
            <w:tcW w:type="dxa" w:w="1584"/>
            <w:shd w:val="clear" w:color="auto" w:fill="1F497D"/>
          </w:tcPr>
          <w:p>
            <w:pPr>
              <w:jc w:val="center"/>
            </w:pPr>
            <w:r>
              <w:rPr>
                <w:b/>
                <w:color w:val="FFFFFF"/>
                <w:sz w:val="20"/>
              </w:rPr>
              <w:t>Status</w:t>
            </w:r>
          </w:p>
        </w:tc>
      </w:tr>
      <w:tr>
        <w:tc>
          <w:tcPr>
            <w:tcW w:type="dxa" w:w="2304"/>
            <w:shd w:val="clear" w:color="auto" w:fill="F2F2F2"/>
          </w:tcPr>
          <w:p>
            <w:pPr>
              <w:jc w:val="center"/>
            </w:pPr>
            <w:r>
              <w:rPr>
                <w:color w:val="000000"/>
                <w:sz w:val="20"/>
              </w:rPr>
              <w:t>Licence / IP violation from training data</w:t>
            </w:r>
          </w:p>
        </w:tc>
        <w:tc>
          <w:tcPr>
            <w:tcW w:type="dxa" w:w="1152"/>
            <w:shd w:val="clear" w:color="auto" w:fill="F2F2F2"/>
          </w:tcPr>
          <w:p>
            <w:pPr>
              <w:jc w:val="center"/>
            </w:pPr>
            <w:r>
              <w:rPr>
                <w:color w:val="000000"/>
                <w:sz w:val="20"/>
              </w:rPr>
              <w:t>Low</w:t>
            </w:r>
          </w:p>
        </w:tc>
        <w:tc>
          <w:tcPr>
            <w:tcW w:type="dxa" w:w="1008"/>
            <w:shd w:val="clear" w:color="auto" w:fill="F2F2F2"/>
          </w:tcPr>
          <w:p>
            <w:pPr>
              <w:jc w:val="center"/>
            </w:pPr>
            <w:r>
              <w:rPr>
                <w:color w:val="000000"/>
                <w:sz w:val="20"/>
              </w:rPr>
              <w:t>High</w:t>
            </w:r>
          </w:p>
        </w:tc>
        <w:tc>
          <w:tcPr>
            <w:tcW w:type="dxa" w:w="4032"/>
            <w:shd w:val="clear" w:color="auto" w:fill="F2F2F2"/>
          </w:tcPr>
          <w:p>
            <w:pPr>
              <w:jc w:val="center"/>
            </w:pPr>
            <w:r>
              <w:rPr>
                <w:color w:val="000000"/>
                <w:sz w:val="20"/>
              </w:rPr>
              <w:t>Google Open Images V7 CC BY 4.0 selected. Attribution statement included. Non-commercial and ambiguous-licence datasets explicitly rejected.</w:t>
            </w:r>
          </w:p>
        </w:tc>
        <w:tc>
          <w:tcPr>
            <w:tcW w:type="dxa" w:w="1584"/>
            <w:shd w:val="clear" w:color="auto" w:fill="F2F2F2"/>
          </w:tcPr>
          <w:p>
            <w:pPr>
              <w:jc w:val="center"/>
            </w:pPr>
            <w:r>
              <w:rPr>
                <w:color w:val="000000"/>
                <w:sz w:val="20"/>
              </w:rPr>
              <w:t>MITIGATED</w:t>
            </w:r>
          </w:p>
        </w:tc>
      </w:tr>
      <w:tr>
        <w:tc>
          <w:tcPr>
            <w:tcW w:type="dxa" w:w="2304"/>
            <w:shd w:val="clear" w:color="auto" w:fill="FFFFFF"/>
          </w:tcPr>
          <w:p>
            <w:pPr>
              <w:jc w:val="center"/>
            </w:pPr>
            <w:r>
              <w:rPr>
                <w:color w:val="000000"/>
                <w:sz w:val="20"/>
              </w:rPr>
              <w:t>Overfitting to training images</w:t>
            </w:r>
          </w:p>
        </w:tc>
        <w:tc>
          <w:tcPr>
            <w:tcW w:type="dxa" w:w="1152"/>
            <w:shd w:val="clear" w:color="auto" w:fill="FFFFFF"/>
          </w:tcPr>
          <w:p>
            <w:pPr>
              <w:jc w:val="center"/>
            </w:pPr>
            <w:r>
              <w:rPr>
                <w:color w:val="000000"/>
                <w:sz w:val="20"/>
              </w:rPr>
              <w:t>Low</w:t>
            </w:r>
          </w:p>
        </w:tc>
        <w:tc>
          <w:tcPr>
            <w:tcW w:type="dxa" w:w="1008"/>
            <w:shd w:val="clear" w:color="auto" w:fill="FFFFFF"/>
          </w:tcPr>
          <w:p>
            <w:pPr>
              <w:jc w:val="center"/>
            </w:pPr>
            <w:r>
              <w:rPr>
                <w:color w:val="000000"/>
                <w:sz w:val="20"/>
              </w:rPr>
              <w:t>Medium</w:t>
            </w:r>
          </w:p>
        </w:tc>
        <w:tc>
          <w:tcPr>
            <w:tcW w:type="dxa" w:w="4032"/>
            <w:shd w:val="clear" w:color="auto" w:fill="FFFFFF"/>
          </w:tcPr>
          <w:p>
            <w:pPr>
              <w:jc w:val="center"/>
            </w:pPr>
            <w:r>
              <w:rPr>
                <w:color w:val="000000"/>
                <w:sz w:val="20"/>
              </w:rPr>
              <w:t>2,000 images per class provides ample diversity. Dropout applied in classification head. Augmentation pipeline introduces variation. Early stopping on validation loss.</w:t>
            </w:r>
          </w:p>
        </w:tc>
        <w:tc>
          <w:tcPr>
            <w:tcW w:type="dxa" w:w="1584"/>
            <w:shd w:val="clear" w:color="auto" w:fill="FFFFFF"/>
          </w:tcPr>
          <w:p>
            <w:pPr>
              <w:jc w:val="center"/>
            </w:pPr>
            <w:r>
              <w:rPr>
                <w:color w:val="000000"/>
                <w:sz w:val="20"/>
              </w:rPr>
              <w:t>MITIGATED</w:t>
            </w:r>
          </w:p>
        </w:tc>
      </w:tr>
      <w:tr>
        <w:tc>
          <w:tcPr>
            <w:tcW w:type="dxa" w:w="2304"/>
            <w:shd w:val="clear" w:color="auto" w:fill="F2F2F2"/>
          </w:tcPr>
          <w:p>
            <w:pPr>
              <w:jc w:val="center"/>
            </w:pPr>
            <w:r>
              <w:rPr>
                <w:color w:val="000000"/>
                <w:sz w:val="20"/>
              </w:rPr>
              <w:t>Model file size / storage</w:t>
            </w:r>
          </w:p>
        </w:tc>
        <w:tc>
          <w:tcPr>
            <w:tcW w:type="dxa" w:w="1152"/>
            <w:shd w:val="clear" w:color="auto" w:fill="F2F2F2"/>
          </w:tcPr>
          <w:p>
            <w:pPr>
              <w:jc w:val="center"/>
            </w:pPr>
            <w:r>
              <w:rPr>
                <w:color w:val="000000"/>
                <w:sz w:val="20"/>
              </w:rPr>
              <w:t>Low</w:t>
            </w:r>
          </w:p>
        </w:tc>
        <w:tc>
          <w:tcPr>
            <w:tcW w:type="dxa" w:w="1008"/>
            <w:shd w:val="clear" w:color="auto" w:fill="F2F2F2"/>
          </w:tcPr>
          <w:p>
            <w:pPr>
              <w:jc w:val="center"/>
            </w:pPr>
            <w:r>
              <w:rPr>
                <w:color w:val="000000"/>
                <w:sz w:val="20"/>
              </w:rPr>
              <w:t>Low</w:t>
            </w:r>
          </w:p>
        </w:tc>
        <w:tc>
          <w:tcPr>
            <w:tcW w:type="dxa" w:w="4032"/>
            <w:shd w:val="clear" w:color="auto" w:fill="F2F2F2"/>
          </w:tcPr>
          <w:p>
            <w:pPr>
              <w:jc w:val="center"/>
            </w:pPr>
            <w:r>
              <w:rPr>
                <w:color w:val="000000"/>
                <w:sz w:val="20"/>
              </w:rPr>
              <w:t>Fine-tuned checkpoint ~400 MB. Stored locally on server. No cloud storage required. Well within typical server disk budget.</w:t>
            </w:r>
          </w:p>
        </w:tc>
        <w:tc>
          <w:tcPr>
            <w:tcW w:type="dxa" w:w="1584"/>
            <w:shd w:val="clear" w:color="auto" w:fill="F2F2F2"/>
          </w:tcPr>
          <w:p>
            <w:pPr>
              <w:jc w:val="center"/>
            </w:pPr>
            <w:r>
              <w:rPr>
                <w:color w:val="000000"/>
                <w:sz w:val="20"/>
              </w:rPr>
              <w:t>LOW RISK</w:t>
            </w:r>
          </w:p>
        </w:tc>
      </w:tr>
      <w:tr>
        <w:tc>
          <w:tcPr>
            <w:tcW w:type="dxa" w:w="2304"/>
            <w:shd w:val="clear" w:color="auto" w:fill="FFFFFF"/>
          </w:tcPr>
          <w:p>
            <w:pPr>
              <w:jc w:val="center"/>
            </w:pPr>
            <w:r>
              <w:rPr>
                <w:color w:val="000000"/>
                <w:sz w:val="20"/>
              </w:rPr>
              <w:t>Pipeline disruption during training</w:t>
            </w:r>
          </w:p>
        </w:tc>
        <w:tc>
          <w:tcPr>
            <w:tcW w:type="dxa" w:w="1152"/>
            <w:shd w:val="clear" w:color="auto" w:fill="FFFFFF"/>
          </w:tcPr>
          <w:p>
            <w:pPr>
              <w:jc w:val="center"/>
            </w:pPr>
            <w:r>
              <w:rPr>
                <w:color w:val="000000"/>
                <w:sz w:val="20"/>
              </w:rPr>
              <w:t>Very Low</w:t>
            </w:r>
          </w:p>
        </w:tc>
        <w:tc>
          <w:tcPr>
            <w:tcW w:type="dxa" w:w="1008"/>
            <w:shd w:val="clear" w:color="auto" w:fill="FFFFFF"/>
          </w:tcPr>
          <w:p>
            <w:pPr>
              <w:jc w:val="center"/>
            </w:pPr>
            <w:r>
              <w:rPr>
                <w:color w:val="000000"/>
                <w:sz w:val="20"/>
              </w:rPr>
              <w:t>Low</w:t>
            </w:r>
          </w:p>
        </w:tc>
        <w:tc>
          <w:tcPr>
            <w:tcW w:type="dxa" w:w="4032"/>
            <w:shd w:val="clear" w:color="auto" w:fill="FFFFFF"/>
          </w:tcPr>
          <w:p>
            <w:pPr>
              <w:jc w:val="center"/>
            </w:pPr>
            <w:r>
              <w:rPr>
                <w:color w:val="000000"/>
                <w:sz w:val="20"/>
              </w:rPr>
              <w:t>inference_base.py falls back to zero-shot CLIP automatically if checkpoint file is absent or corrupt. Pipeline remains fully operational at all times.</w:t>
            </w:r>
          </w:p>
        </w:tc>
        <w:tc>
          <w:tcPr>
            <w:tcW w:type="dxa" w:w="1584"/>
            <w:shd w:val="clear" w:color="auto" w:fill="FFFFFF"/>
          </w:tcPr>
          <w:p>
            <w:pPr>
              <w:jc w:val="center"/>
            </w:pPr>
            <w:r>
              <w:rPr>
                <w:color w:val="000000"/>
                <w:sz w:val="20"/>
              </w:rPr>
              <w:t>MITIGATED</w:t>
            </w:r>
          </w:p>
        </w:tc>
      </w:tr>
      <w:tr>
        <w:tc>
          <w:tcPr>
            <w:tcW w:type="dxa" w:w="2304"/>
            <w:shd w:val="clear" w:color="auto" w:fill="F2F2F2"/>
          </w:tcPr>
          <w:p>
            <w:pPr>
              <w:jc w:val="center"/>
            </w:pPr>
            <w:r>
              <w:rPr>
                <w:color w:val="000000"/>
                <w:sz w:val="20"/>
              </w:rPr>
              <w:t>GPU not available for training</w:t>
            </w:r>
          </w:p>
        </w:tc>
        <w:tc>
          <w:tcPr>
            <w:tcW w:type="dxa" w:w="1152"/>
            <w:shd w:val="clear" w:color="auto" w:fill="F2F2F2"/>
          </w:tcPr>
          <w:p>
            <w:pPr>
              <w:jc w:val="center"/>
            </w:pPr>
            <w:r>
              <w:rPr>
                <w:color w:val="000000"/>
                <w:sz w:val="20"/>
              </w:rPr>
              <w:t>Medium</w:t>
            </w:r>
          </w:p>
        </w:tc>
        <w:tc>
          <w:tcPr>
            <w:tcW w:type="dxa" w:w="1008"/>
            <w:shd w:val="clear" w:color="auto" w:fill="F2F2F2"/>
          </w:tcPr>
          <w:p>
            <w:pPr>
              <w:jc w:val="center"/>
            </w:pPr>
            <w:r>
              <w:rPr>
                <w:color w:val="000000"/>
                <w:sz w:val="20"/>
              </w:rPr>
              <w:t>Medium</w:t>
            </w:r>
          </w:p>
        </w:tc>
        <w:tc>
          <w:tcPr>
            <w:tcW w:type="dxa" w:w="4032"/>
            <w:shd w:val="clear" w:color="auto" w:fill="F2F2F2"/>
          </w:tcPr>
          <w:p>
            <w:pPr>
              <w:jc w:val="center"/>
            </w:pPr>
            <w:r>
              <w:rPr>
                <w:color w:val="000000"/>
                <w:sz w:val="20"/>
              </w:rPr>
              <w:t>Linear probe (Phase 1) can run on CPU in ~4 hours as a fallback. LoRA fine-tuning requires GPU; cloud GPU (e.g. Colab Pro) can be used as a one-time training environment.</w:t>
            </w:r>
          </w:p>
        </w:tc>
        <w:tc>
          <w:tcPr>
            <w:tcW w:type="dxa" w:w="1584"/>
            <w:shd w:val="clear" w:color="auto" w:fill="F2F2F2"/>
          </w:tcPr>
          <w:p>
            <w:pPr>
              <w:jc w:val="center"/>
            </w:pPr>
            <w:r>
              <w:rPr>
                <w:color w:val="000000"/>
                <w:sz w:val="20"/>
              </w:rPr>
              <w:t>ACCEPTABLE</w:t>
            </w:r>
          </w:p>
        </w:tc>
      </w:tr>
      <w:tr>
        <w:tc>
          <w:tcPr>
            <w:tcW w:type="dxa" w:w="2304"/>
            <w:shd w:val="clear" w:color="auto" w:fill="FFFFFF"/>
          </w:tcPr>
          <w:p>
            <w:pPr>
              <w:jc w:val="center"/>
            </w:pPr>
            <w:r>
              <w:rPr>
                <w:color w:val="000000"/>
                <w:sz w:val="20"/>
              </w:rPr>
              <w:t>Dataset download failure / rate limiting</w:t>
            </w:r>
          </w:p>
        </w:tc>
        <w:tc>
          <w:tcPr>
            <w:tcW w:type="dxa" w:w="1152"/>
            <w:shd w:val="clear" w:color="auto" w:fill="FFFFFF"/>
          </w:tcPr>
          <w:p>
            <w:pPr>
              <w:jc w:val="center"/>
            </w:pPr>
            <w:r>
              <w:rPr>
                <w:color w:val="000000"/>
                <w:sz w:val="20"/>
              </w:rPr>
              <w:t>Medium</w:t>
            </w:r>
          </w:p>
        </w:tc>
        <w:tc>
          <w:tcPr>
            <w:tcW w:type="dxa" w:w="1008"/>
            <w:shd w:val="clear" w:color="auto" w:fill="FFFFFF"/>
          </w:tcPr>
          <w:p>
            <w:pPr>
              <w:jc w:val="center"/>
            </w:pPr>
            <w:r>
              <w:rPr>
                <w:color w:val="000000"/>
                <w:sz w:val="20"/>
              </w:rPr>
              <w:t>Low</w:t>
            </w:r>
          </w:p>
        </w:tc>
        <w:tc>
          <w:tcPr>
            <w:tcW w:type="dxa" w:w="4032"/>
            <w:shd w:val="clear" w:color="auto" w:fill="FFFFFF"/>
          </w:tcPr>
          <w:p>
            <w:pPr>
              <w:jc w:val="center"/>
            </w:pPr>
            <w:r>
              <w:rPr>
                <w:color w:val="000000"/>
                <w:sz w:val="20"/>
              </w:rPr>
              <w:t>download_openimages.py implements retry logic and resumes from last successful batch. Full download can be split across multiple sessions.</w:t>
            </w:r>
          </w:p>
        </w:tc>
        <w:tc>
          <w:tcPr>
            <w:tcW w:type="dxa" w:w="1584"/>
            <w:shd w:val="clear" w:color="auto" w:fill="FFFFFF"/>
          </w:tcPr>
          <w:p>
            <w:pPr>
              <w:jc w:val="center"/>
            </w:pPr>
            <w:r>
              <w:rPr>
                <w:color w:val="000000"/>
                <w:sz w:val="20"/>
              </w:rPr>
              <w:t>MITIGATED</w:t>
            </w:r>
          </w:p>
        </w:tc>
      </w:tr>
    </w:tbl>
    <w:p/>
    <w:p/>
    <w:p>
      <w:pPr>
        <w:spacing w:before="160" w:after="80"/>
      </w:pPr>
      <w:r>
        <w:rPr>
          <w:b/>
          <w:color w:val="1F497D"/>
          <w:sz w:val="28"/>
        </w:rPr>
        <w:t>8. Attribution &amp; Compliance Statement</w:t>
      </w:r>
    </w:p>
    <w:p>
      <w:pPr>
        <w:jc w:val="both"/>
        <w:spacing w:before="0" w:after="60"/>
      </w:pPr>
      <w:r>
        <w:rPr>
          <w:b w:val="0"/>
          <w:i w:val="0"/>
          <w:color w:val="000000"/>
          <w:sz w:val="22"/>
        </w:rPr>
        <w:t>The following attribution text must be included in all product documentation, about pages, and any published technical reports that describe or include the fine-tuned CLIP model or its outputs. This satisfies the attribution requirement of the Creative Commons Attribution 4.0 International licence under which the Google Open Images V7 training data is provided.</w:t>
      </w:r>
    </w:p>
    <w:p>
      <w:pPr>
        <w:jc w:val="both"/>
        <w:pBdr>
          <w:top w:val="single" w:sz="12" w:space="6" w:color="1F497D"/>
          <w:left w:val="single" w:sz="12" w:space="6" w:color="1F497D"/>
          <w:bottom w:val="single" w:sz="12" w:space="6" w:color="1F497D"/>
          <w:right w:val="single" w:sz="12" w:space="6" w:color="1F497D"/>
        </w:pBdr>
        <w:spacing w:before="80" w:after="120"/>
      </w:pPr>
      <w:r>
        <w:rPr>
          <w:color w:val="1F497D"/>
          <w:sz w:val="22"/>
        </w:rPr>
        <w:t>This project uses images from the Google Open Images Dataset V7, licensed under Creative Commons Attribution 4.0 International (CC BY 4.0). © Google LLC.</w:t>
        <w:br/>
        <w:br/>
        <w:t>For more information see: https://storage.googleapis.com/openimages/web/index.html</w:t>
        <w:br/>
        <w:t>Licence text: https://creativecommons.org/licenses/by/4.0/</w:t>
      </w:r>
    </w:p>
    <w:p>
      <w:pPr>
        <w:jc w:val="both"/>
        <w:spacing w:before="0" w:after="60"/>
      </w:pPr>
      <w:r>
        <w:rPr>
          <w:b w:val="0"/>
          <w:i w:val="0"/>
          <w:color w:val="000000"/>
          <w:sz w:val="22"/>
        </w:rPr>
        <w:t>No other training datasets are used in the fine-tuned model. The CLIP base model (openai/clip-vit-base-patch32) is released by OpenAI under the MIT Licence, which permits unrestricted commercial use. The LoRA implementation (microsoft/LoRA) is released under the MIT Licence.</w:t>
      </w:r>
    </w:p>
    <w:p>
      <w:pPr>
        <w:jc w:val="both"/>
        <w:spacing w:before="0" w:after="60"/>
      </w:pPr>
      <w:r>
        <w:rPr>
          <w:b w:val="0"/>
          <w:i w:val="0"/>
          <w:color w:val="000000"/>
          <w:sz w:val="22"/>
        </w:rPr>
        <w:t>Full licence texts and dataset cards should be retained in the project repository under /docs/licences/ for audit purposes.</w:t>
      </w:r>
    </w:p>
    <w:p/>
    <w:p>
      <w:pPr>
        <w:jc w:val="center"/>
        <w:spacing w:before="200" w:after="6"/>
      </w:pPr>
      <w:r>
        <w:rPr>
          <w:i/>
          <w:color w:val="7F7F7F"/>
          <w:sz w:val="18"/>
        </w:rPr>
        <w:t>— End of Document —</w:t>
        <w:br/>
        <w:t>Prepared by Dimitres Kisimov  |  3DpicToIFCModeling Project  |  April 21, 2026</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