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0"/>
        </w:rPr>
        <w:t>From 2D Image to IFC-Ready BIM: A Retrieval-and-Layout Pipeline with a Quantified Single-View Ceiling</w:t>
      </w:r>
    </w:p>
    <w:p>
      <w:r>
        <w:rPr>
          <w:b/>
        </w:rPr>
        <w:t>Subtitle:</w:t>
      </w:r>
      <w:r>
        <w:t xml:space="preserve"> Implementation and empirical evaluation of an AI room-population system, and a measured account of why single-image 3D reconstruction is bounded.</w:t>
      </w:r>
    </w:p>
    <w:p>
      <w:r>
        <w:rPr>
          <w:b/>
        </w:rPr>
        <w:t>Author:</w:t>
      </w:r>
      <w:r>
        <w:t xml:space="preserve"> Dimitres Kisimov </w:t>
      </w:r>
      <w:r>
        <w:rPr>
          <w:b/>
        </w:rPr>
        <w:t>Affiliation:</w:t>
      </w:r>
      <w:r>
        <w:t xml:space="preserve"> SCS — 3DpicToIFCModeling Project </w:t>
      </w:r>
      <w:r>
        <w:rPr>
          <w:b/>
        </w:rPr>
        <w:t>Contact:</w:t>
      </w:r>
      <w:r>
        <w:t xml:space="preserve"> dinoslice26@gmail.com </w:t>
      </w:r>
      <w:r>
        <w:rPr>
          <w:b/>
        </w:rPr>
        <w:t>Date:</w:t>
      </w:r>
      <w:r>
        <w:t xml:space="preserve"> 23 June 2026 (supersedes the 5 May 2026 critical-analysis report)</w:t>
      </w:r>
    </w:p>
    <w:p>
      <w:pPr>
        <w:pStyle w:val="Heading2"/>
      </w:pPr>
      <w:r>
        <w:t>Abstract</w:t>
      </w:r>
    </w:p>
    <w:p>
      <w:r>
        <w:t xml:space="preserve">We previously argued (May 2026) that single-view AI 3D reconstruction is fundamentally unsuited to producing BIM-grade IFC geometry from photographs. This paper turns that *assertion* into a *measurement*, and presents the corrected system built on the recommendation that followed from it. We implement a </w:t>
      </w:r>
      <w:r>
        <w:rPr>
          <w:b/>
        </w:rPr>
        <w:t>retrieval-and-layout</w:t>
      </w:r>
      <w:r>
        <w:t xml:space="preserve"> pipeline: each photographed object becomes a row in an object table (type, real dimensions, material, licence, 3D model), objects are matched to a catalogue of </w:t>
      </w:r>
      <w:r>
        <w:rPr>
          <w:b/>
        </w:rPr>
        <w:t>400 real product meshes</w:t>
      </w:r>
      <w:r>
        <w:t xml:space="preserve"> (Amazon Berkeley Objects, CC-BY-4.0), and a functional layout engine arranges them in a room the way a human would — chairs facing desks, storage along walls, circulation kept clear — before exporting an IFC4 model and an interactive 3D view. Separately, we build a generator-agnostic accuracy harness (Chamfer distance + F-score against known ground truth) and use our own catalogue meshes as ground truth to </w:t>
      </w:r>
      <w:r>
        <w:rPr>
          <w:b/>
        </w:rPr>
        <w:t>quantify the single-view ceiling</w:t>
      </w:r>
      <w:r>
        <w:t>: TripoSR reconstructions achieve high surface *precision* (~0.81) but low *recall* (~0.09) — the visible surface is captured, the unseen back is not. We report a reproducible figure set, a production cost model, and the path past the ceiling (multi-view + scale calibration).</w:t>
      </w:r>
    </w:p>
    <w:p>
      <w:pPr>
        <w:pStyle w:val="Heading2"/>
      </w:pPr>
      <w:r>
        <w:t>1. Introduction</w:t>
      </w:r>
    </w:p>
    <w:p>
      <w:r>
        <w:t>Building Information Modeling (BIM) and its open exchange format, IFC, encode not just geometry but semantics: object types, materials, spatial relationships. Automatically producing BIM data from ordinary photographs would dramatically cut the cost of digitising spaces and their contents. The 3DpicToIFCModeling project pursued this across multiple phases, integrating single-image-to-3D models (TripoSR, InstantMesh, TRELLIS, SAM 3D), a processing pipeline, and an IFC export layer.</w:t>
      </w:r>
    </w:p>
    <w:p>
      <w:r>
        <w:t xml:space="preserve">Our earlier critical analysis concluded that the original premise — single-view AI reconstruction → BIM-grade IFC — is categorically mismatched (Section 2). This paper acts on that conclusion: it (i) implements the recommended </w:t>
      </w:r>
      <w:r>
        <w:rPr>
          <w:b/>
        </w:rPr>
        <w:t>parametric/retrieval</w:t>
      </w:r>
      <w:r>
        <w:t xml:space="preserve"> approach as a working system, (ii) adds a </w:t>
      </w:r>
      <w:r>
        <w:rPr>
          <w:b/>
        </w:rPr>
        <w:t>functional room-layout</w:t>
      </w:r>
      <w:r>
        <w:t xml:space="preserve"> engine that the original pipeline lacked, and (iii) replaces the qualitative "single-view is limited" claim with </w:t>
      </w:r>
      <w:r>
        <w:rPr>
          <w:b/>
        </w:rPr>
        <w:t>hard, reproducible numbers</w:t>
      </w:r>
      <w:r>
        <w:t>.</w:t>
      </w:r>
    </w:p>
    <w:p>
      <w:pPr>
        <w:pStyle w:val="Heading2"/>
      </w:pPr>
      <w:r>
        <w:t>2. Background: why the original approach failed (summary)</w:t>
      </w:r>
    </w:p>
    <w:p>
      <w:r>
        <w:t>The May 2026 analysis identified four structural problems, summarised here:</w:t>
      </w:r>
    </w:p>
    <w:p>
      <w:pPr>
        <w:pStyle w:val="ListNumber"/>
      </w:pPr>
      <w:r>
        <w:rPr>
          <w:b/>
        </w:rPr>
        <w:t>Wrong models for the task.</w:t>
      </w:r>
      <w:r>
        <w:t xml:space="preserve"> TripoSR/InstantMesh/TRELLIS are trained on consumer-object</w:t>
      </w:r>
    </w:p>
    <w:p>
      <w:r>
        <w:t xml:space="preserve">   datasets (ShapeNet, Objaverse), optimised for visual plausibility, never on architectural    or BIM-relevant geometry.</w:t>
      </w:r>
    </w:p>
    <w:p>
      <w:pPr>
        <w:pStyle w:val="ListNumber"/>
      </w:pPr>
      <w:r>
        <w:rPr>
          <w:b/>
        </w:rPr>
        <w:t>Single-view is ill-posed.</w:t>
      </w:r>
      <w:r>
        <w:t xml:space="preserve"> One photograph carries no information about occluded</w:t>
      </w:r>
    </w:p>
    <w:p>
      <w:r>
        <w:t xml:space="preserve">   surfaces, absolute scale, or non-visible topology; models hallucinate the rest.</w:t>
      </w:r>
    </w:p>
    <w:p>
      <w:pPr>
        <w:pStyle w:val="ListNumber"/>
      </w:pPr>
      <w:r>
        <w:rPr>
          <w:b/>
        </w:rPr>
        <w:t>Mesh ≠ IFC.</w:t>
      </w:r>
      <w:r>
        <w:t xml:space="preserve"> IFC is a semantic data model (parametric walls, material layer sets,</w:t>
      </w:r>
    </w:p>
    <w:p>
      <w:r>
        <w:t xml:space="preserve">   spatial containment), not a triangle soup. Wrapping a noisy mesh in IFC XML is    syntactically valid but semantically empty.</w:t>
      </w:r>
    </w:p>
    <w:p>
      <w:pPr>
        <w:pStyle w:val="ListNumber"/>
      </w:pPr>
      <w:r>
        <w:rPr>
          <w:b/>
        </w:rPr>
        <w:t>No semantics.</w:t>
      </w:r>
      <w:r>
        <w:t xml:space="preserve"> The pipeline could not answer "is this a wall or a column?" — the</w:t>
      </w:r>
    </w:p>
    <w:p>
      <w:r>
        <w:t xml:space="preserve">   classification a BIM model requires.</w:t>
      </w:r>
    </w:p>
    <w:p>
      <w:r>
        <w:t xml:space="preserve">The analysis recommended (its §7.3) </w:t>
      </w:r>
      <w:r>
        <w:rPr>
          <w:b/>
        </w:rPr>
        <w:t>parametric template matching</w:t>
      </w:r>
      <w:r>
        <w:t>: classify the object, retrieve a parametric/known template, and adjust to the photograph — producing valid BIM data without depending on geometric reconstruction. The present system implements exactly this.</w:t>
      </w:r>
    </w:p>
    <w:p>
      <w:pPr>
        <w:pStyle w:val="Heading2"/>
      </w:pPr>
      <w:r>
        <w:t>3. System overview</w:t>
      </w:r>
    </w:p>
    <w:p>
      <w:pPr>
        <w:jc w:val="center"/>
      </w:pPr>
      <w:r>
        <w:drawing>
          <wp:inline xmlns:a="http://schemas.openxmlformats.org/drawingml/2006/main" xmlns:pic="http://schemas.openxmlformats.org/drawingml/2006/picture">
            <wp:extent cx="5669280" cy="6750879"/>
            <wp:docPr id="1" name="Picture 1"/>
            <wp:cNvGraphicFramePr>
              <a:graphicFrameLocks noChangeAspect="1"/>
            </wp:cNvGraphicFramePr>
            <a:graphic>
              <a:graphicData uri="http://schemas.openxmlformats.org/drawingml/2006/picture">
                <pic:pic>
                  <pic:nvPicPr>
                    <pic:cNvPr id="0" name="results_plate.png"/>
                    <pic:cNvPicPr/>
                  </pic:nvPicPr>
                  <pic:blipFill>
                    <a:blip r:embed="rId9"/>
                    <a:stretch>
                      <a:fillRect/>
                    </a:stretch>
                  </pic:blipFill>
                  <pic:spPr>
                    <a:xfrm>
                      <a:off x="0" y="0"/>
                      <a:ext cx="5669280" cy="6750879"/>
                    </a:xfrm>
                    <a:prstGeom prst="rect"/>
                  </pic:spPr>
                </pic:pic>
              </a:graphicData>
            </a:graphic>
          </wp:inline>
        </w:drawing>
      </w:r>
    </w:p>
    <w:p>
      <w:pPr>
        <w:jc w:val="center"/>
      </w:pPr>
      <w:r>
        <w:rPr>
          <w:i/>
          <w:color w:val="555555"/>
          <w:sz w:val="19"/>
        </w:rPr>
        <w:t>Results overview. (a–g) functional room layouts across criteria; (h) capacity boundary; (i) photo→3D accuracy (single-view ceiling). All panels are server-side renders generated reproducibly from the pipeline.</w:t>
      </w:r>
    </w:p>
    <w:p>
      <w:r>
        <w:t xml:space="preserve">The corrected pipeline is: </w:t>
      </w:r>
      <w:r>
        <w:rPr>
          <w:b/>
        </w:rPr>
        <w:t>photograph → object table → retrieval to a real catalogue mesh → functional layout → IFC4 + interactive 3D view → export.</w:t>
      </w:r>
      <w:r>
        <w:t xml:space="preserve"> The object table is the single source of truth; the human exports from it (CSV / GLB / IFC) and an AI lays objects out functionally. The stack is licence-clean throughout (Section 8).</w:t>
      </w:r>
    </w:p>
    <w:p>
      <w:pPr>
        <w:pStyle w:val="Heading2"/>
      </w:pPr>
      <w:r>
        <w:t>4. Catalogue and data</w:t>
      </w:r>
    </w:p>
    <w:p>
      <w:r>
        <w:t xml:space="preserve">The asset library is </w:t>
      </w:r>
      <w:r>
        <w:rPr>
          <w:b/>
        </w:rPr>
        <w:t>Amazon Berkeley Objects (ABO)</w:t>
      </w:r>
      <w:r>
        <w:t xml:space="preserve"> — real Amazon products as 3D meshes — </w:t>
      </w:r>
      <w:r>
        <w:rPr>
          <w:b/>
        </w:rPr>
        <w:t>400 meshes across 8 office-furniture categories (50 each):</w:t>
      </w:r>
      <w:r>
        <w:t xml:space="preserve"> desk, office_chair, cabinet, bookshelf, sofa, table, stool, lamp. Each carries provenance (source ASIN, product type, true metric dimensions, face count, thumbnail) and the permissive </w:t>
      </w:r>
      <w:r>
        <w:rPr>
          <w:b/>
        </w:rPr>
        <w:t>CC-BY-4.0</w:t>
      </w:r>
      <w:r>
        <w:t xml:space="preserve"> licence. Categories without a native ABO mesh (filing cabinet, coffee table, side table, monitor) borrow a visually-similar mesh or a clean procedural primitive. Retrieval matches a photographed object to the nearest catalogue mesh via DINOv2 embeddings + a FAISS index.</w:t>
      </w:r>
    </w:p>
    <w:p>
      <w:pPr>
        <w:pStyle w:val="Heading2"/>
      </w:pPr>
      <w:r>
        <w:t>5. Functional layout engine</w:t>
      </w:r>
    </w:p>
    <w:p>
      <w:r>
        <w:t>The layout engine is what makes a populated room read as human rather than merely non-overlapping. It has three layers:</w:t>
      </w:r>
    </w:p>
    <w:p>
      <w:pPr>
        <w:pStyle w:val="ListNumber"/>
      </w:pPr>
      <w:r>
        <w:rPr>
          <w:b/>
        </w:rPr>
        <w:t>Rule packs</w:t>
      </w:r>
      <w:r>
        <w:t xml:space="preserve"> — ergonomic numbers from published standards encoded as data: Neufert</w:t>
      </w:r>
    </w:p>
    <w:p>
      <w:r>
        <w:t xml:space="preserve">   (≈6 m²/workstation, ≥1.0 m circulation), Panero &amp; Zelnik (seating clearances), ADA (0.915 m    routes, 0.815 m door clear, 1.525 m turning circle), IBC/IFC (door keep-clear). A room type    (office / living / workspace) is a profile of these numbers plus functional groupings.</w:t>
      </w:r>
    </w:p>
    <w:p>
      <w:pPr>
        <w:pStyle w:val="ListNumber"/>
      </w:pPr>
      <w:r>
        <w:rPr>
          <w:b/>
        </w:rPr>
        <w:t>Constrained packing</w:t>
      </w:r>
      <w:r>
        <w:t xml:space="preserve"> — Google OR-Tools CP-SAT on a 10 cm grid, 0°/90° orientations,</w:t>
      </w:r>
    </w:p>
    <w:p>
      <w:r>
        <w:t xml:space="preserve">   no-overlap across furniture and fixed obstacles (columns, door keep-clear zones), with a    </w:t>
      </w:r>
      <w:r>
        <w:rPr>
          <w:b/>
        </w:rPr>
        <w:t>wall-affinity objective</w:t>
      </w:r>
      <w:r>
        <w:t xml:space="preserve"> that pulls storage to the perimeter and keeps the centre open.</w:t>
      </w:r>
    </w:p>
    <w:p>
      <w:pPr>
        <w:pStyle w:val="ListNumber"/>
      </w:pPr>
      <w:r>
        <w:rPr>
          <w:b/>
        </w:rPr>
        <w:t>Functional anchoring + seat-facing</w:t>
      </w:r>
      <w:r>
        <w:t xml:space="preserve"> — children (chair, monitor, lamp) are folded into a</w:t>
      </w:r>
    </w:p>
    <w:p>
      <w:r>
        <w:t xml:space="preserve">   desk's reserved footprint so groups never collide, then placed relative to their anchor.    Each chair's forward direction is </w:t>
      </w:r>
      <w:r>
        <w:rPr>
          <w:b/>
        </w:rPr>
        <w:t>inferred from its own mesh geometry</w:t>
      </w:r>
      <w:r>
        <w:t xml:space="preserve"> and rotated to    face the desk — robust to the catalogue mesh's authored orientation.</w:t>
      </w:r>
    </w:p>
    <w:p>
      <w:r>
        <w:t xml:space="preserve">The engine was verified by tracing a workstation through all three layers by hand and confirming the solver's output matched </w:t>
      </w:r>
      <w:r>
        <w:rPr>
          <w:b/>
        </w:rPr>
        <w:t>to the centimetre</w:t>
      </w:r>
      <w:r>
        <w:t>.</w:t>
      </w:r>
    </w:p>
    <w:p>
      <w:pPr>
        <w:jc w:val="center"/>
      </w:pPr>
      <w:r>
        <w:drawing>
          <wp:inline xmlns:a="http://schemas.openxmlformats.org/drawingml/2006/main" xmlns:pic="http://schemas.openxmlformats.org/drawingml/2006/picture">
            <wp:extent cx="5669280" cy="2159288"/>
            <wp:docPr id="2" name="Picture 2"/>
            <wp:cNvGraphicFramePr>
              <a:graphicFrameLocks noChangeAspect="1"/>
            </wp:cNvGraphicFramePr>
            <a:graphic>
              <a:graphicData uri="http://schemas.openxmlformats.org/drawingml/2006/picture">
                <pic:pic>
                  <pic:nvPicPr>
                    <pic:cNvPr id="0" name="fig01_office_single_montage.png"/>
                    <pic:cNvPicPr/>
                  </pic:nvPicPr>
                  <pic:blipFill>
                    <a:blip r:embed="rId10"/>
                    <a:stretch>
                      <a:fillRect/>
                    </a:stretch>
                  </pic:blipFill>
                  <pic:spPr>
                    <a:xfrm>
                      <a:off x="0" y="0"/>
                      <a:ext cx="5669280" cy="2159288"/>
                    </a:xfrm>
                    <a:prstGeom prst="rect"/>
                  </pic:spPr>
                </pic:pic>
              </a:graphicData>
            </a:graphic>
          </wp:inline>
        </w:drawing>
      </w:r>
    </w:p>
    <w:p>
      <w:pPr>
        <w:jc w:val="center"/>
      </w:pPr>
      <w:r>
        <w:rPr>
          <w:i/>
          <w:color w:val="555555"/>
          <w:sz w:val="19"/>
        </w:rPr>
        <w:t>Single workstation: chair auto-anchored in front of the desk and turned to face it; monitor and lamp on the desk surface.</w:t>
      </w:r>
    </w:p>
    <w:p>
      <w:pPr>
        <w:jc w:val="center"/>
      </w:pPr>
      <w:r>
        <w:drawing>
          <wp:inline xmlns:a="http://schemas.openxmlformats.org/drawingml/2006/main" xmlns:pic="http://schemas.openxmlformats.org/drawingml/2006/picture">
            <wp:extent cx="5669280" cy="2080064"/>
            <wp:docPr id="3" name="Picture 3"/>
            <wp:cNvGraphicFramePr>
              <a:graphicFrameLocks noChangeAspect="1"/>
            </wp:cNvGraphicFramePr>
            <a:graphic>
              <a:graphicData uri="http://schemas.openxmlformats.org/drawingml/2006/picture">
                <pic:pic>
                  <pic:nvPicPr>
                    <pic:cNvPr id="0" name="fig02_office_team_montage.png"/>
                    <pic:cNvPicPr/>
                  </pic:nvPicPr>
                  <pic:blipFill>
                    <a:blip r:embed="rId11"/>
                    <a:stretch>
                      <a:fillRect/>
                    </a:stretch>
                  </pic:blipFill>
                  <pic:spPr>
                    <a:xfrm>
                      <a:off x="0" y="0"/>
                      <a:ext cx="5669280" cy="2080064"/>
                    </a:xfrm>
                    <a:prstGeom prst="rect"/>
                  </pic:spPr>
                </pic:pic>
              </a:graphicData>
            </a:graphic>
          </wp:inline>
        </w:drawing>
      </w:r>
    </w:p>
    <w:p>
      <w:pPr>
        <w:jc w:val="center"/>
      </w:pPr>
      <w:r>
        <w:rPr>
          <w:i/>
          <w:color w:val="555555"/>
          <w:sz w:val="19"/>
        </w:rPr>
        <w:t>Three-workstation office: each desk gets a facing chair and monitor; storage hugs the walls and the centre stays open for circulation.</w:t>
      </w:r>
    </w:p>
    <w:p>
      <w:pPr>
        <w:pStyle w:val="Heading3"/>
      </w:pPr>
      <w:r>
        <w:t>5.1 Constraint handling</w:t>
      </w:r>
    </w:p>
    <w:p>
      <w:pPr>
        <w:jc w:val="center"/>
      </w:pPr>
      <w:r>
        <w:drawing>
          <wp:inline xmlns:a="http://schemas.openxmlformats.org/drawingml/2006/main" xmlns:pic="http://schemas.openxmlformats.org/drawingml/2006/picture">
            <wp:extent cx="5669280" cy="2080064"/>
            <wp:docPr id="4" name="Picture 4"/>
            <wp:cNvGraphicFramePr>
              <a:graphicFrameLocks noChangeAspect="1"/>
            </wp:cNvGraphicFramePr>
            <a:graphic>
              <a:graphicData uri="http://schemas.openxmlformats.org/drawingml/2006/picture">
                <pic:pic>
                  <pic:nvPicPr>
                    <pic:cNvPr id="0" name="fig03_office_obstacles_montage.png"/>
                    <pic:cNvPicPr/>
                  </pic:nvPicPr>
                  <pic:blipFill>
                    <a:blip r:embed="rId12"/>
                    <a:stretch>
                      <a:fillRect/>
                    </a:stretch>
                  </pic:blipFill>
                  <pic:spPr>
                    <a:xfrm>
                      <a:off x="0" y="0"/>
                      <a:ext cx="5669280" cy="2080064"/>
                    </a:xfrm>
                    <a:prstGeom prst="rect"/>
                  </pic:spPr>
                </pic:pic>
              </a:graphicData>
            </a:graphic>
          </wp:inline>
        </w:drawing>
      </w:r>
    </w:p>
    <w:p>
      <w:pPr>
        <w:jc w:val="center"/>
      </w:pPr>
      <w:r>
        <w:rPr>
          <w:i/>
          <w:color w:val="555555"/>
          <w:sz w:val="19"/>
        </w:rPr>
        <w:t>The same office with a structural column and a door keep-clear zone: no furniture overlaps the obstacle and the door swing stays unblocked.</w:t>
      </w:r>
    </w:p>
    <w:p>
      <w:pPr>
        <w:jc w:val="center"/>
      </w:pPr>
      <w:r>
        <w:drawing>
          <wp:inline xmlns:a="http://schemas.openxmlformats.org/drawingml/2006/main" xmlns:pic="http://schemas.openxmlformats.org/drawingml/2006/picture">
            <wp:extent cx="5669280" cy="2080064"/>
            <wp:docPr id="5" name="Picture 5"/>
            <wp:cNvGraphicFramePr>
              <a:graphicFrameLocks noChangeAspect="1"/>
            </wp:cNvGraphicFramePr>
            <a:graphic>
              <a:graphicData uri="http://schemas.openxmlformats.org/drawingml/2006/picture">
                <pic:pic>
                  <pic:nvPicPr>
                    <pic:cNvPr id="0" name="fig04_office_ada_montage.png"/>
                    <pic:cNvPicPr/>
                  </pic:nvPicPr>
                  <pic:blipFill>
                    <a:blip r:embed="rId13"/>
                    <a:stretch>
                      <a:fillRect/>
                    </a:stretch>
                  </pic:blipFill>
                  <pic:spPr>
                    <a:xfrm>
                      <a:off x="0" y="0"/>
                      <a:ext cx="5669280" cy="2080064"/>
                    </a:xfrm>
                    <a:prstGeom prst="rect"/>
                  </pic:spPr>
                </pic:pic>
              </a:graphicData>
            </a:graphic>
          </wp:inline>
        </w:drawing>
      </w:r>
    </w:p>
    <w:p>
      <w:pPr>
        <w:jc w:val="center"/>
      </w:pPr>
      <w:r>
        <w:rPr>
          <w:i/>
          <w:color w:val="555555"/>
          <w:sz w:val="19"/>
        </w:rPr>
        <w:t>ADA accessibility mode: wider aisles and door clearances applied for wheelchair circulation.</w:t>
      </w:r>
    </w:p>
    <w:p>
      <w:pPr>
        <w:pStyle w:val="Heading3"/>
      </w:pPr>
      <w:r>
        <w:t>5.2 Generalization across room types</w:t>
      </w:r>
    </w:p>
    <w:p>
      <w:pPr>
        <w:jc w:val="center"/>
      </w:pPr>
      <w:r>
        <w:drawing>
          <wp:inline xmlns:a="http://schemas.openxmlformats.org/drawingml/2006/main" xmlns:pic="http://schemas.openxmlformats.org/drawingml/2006/picture">
            <wp:extent cx="5669280" cy="2305981"/>
            <wp:docPr id="6" name="Picture 6"/>
            <wp:cNvGraphicFramePr>
              <a:graphicFrameLocks noChangeAspect="1"/>
            </wp:cNvGraphicFramePr>
            <a:graphic>
              <a:graphicData uri="http://schemas.openxmlformats.org/drawingml/2006/picture">
                <pic:pic>
                  <pic:nvPicPr>
                    <pic:cNvPr id="0" name="fig05_living_room_montage.png"/>
                    <pic:cNvPicPr/>
                  </pic:nvPicPr>
                  <pic:blipFill>
                    <a:blip r:embed="rId14"/>
                    <a:stretch>
                      <a:fillRect/>
                    </a:stretch>
                  </pic:blipFill>
                  <pic:spPr>
                    <a:xfrm>
                      <a:off x="0" y="0"/>
                      <a:ext cx="5669280" cy="2305981"/>
                    </a:xfrm>
                    <a:prstGeom prst="rect"/>
                  </pic:spPr>
                </pic:pic>
              </a:graphicData>
            </a:graphic>
          </wp:inline>
        </w:drawing>
      </w:r>
    </w:p>
    <w:p>
      <w:pPr>
        <w:jc w:val="center"/>
      </w:pPr>
      <w:r>
        <w:rPr>
          <w:i/>
          <w:color w:val="555555"/>
          <w:sz w:val="19"/>
        </w:rPr>
        <w:t>Living-room rule pack: different functional groups (coffee table in front of sofa, stools beside it) and tighter circulation than the office.</w:t>
      </w:r>
    </w:p>
    <w:p>
      <w:pPr>
        <w:jc w:val="center"/>
      </w:pPr>
      <w:r>
        <w:drawing>
          <wp:inline xmlns:a="http://schemas.openxmlformats.org/drawingml/2006/main" xmlns:pic="http://schemas.openxmlformats.org/drawingml/2006/picture">
            <wp:extent cx="5669280" cy="2108039"/>
            <wp:docPr id="7" name="Picture 7"/>
            <wp:cNvGraphicFramePr>
              <a:graphicFrameLocks noChangeAspect="1"/>
            </wp:cNvGraphicFramePr>
            <a:graphic>
              <a:graphicData uri="http://schemas.openxmlformats.org/drawingml/2006/picture">
                <pic:pic>
                  <pic:nvPicPr>
                    <pic:cNvPr id="0" name="fig06_workspace_dense_montage.png"/>
                    <pic:cNvPicPr/>
                  </pic:nvPicPr>
                  <pic:blipFill>
                    <a:blip r:embed="rId15"/>
                    <a:stretch>
                      <a:fillRect/>
                    </a:stretch>
                  </pic:blipFill>
                  <pic:spPr>
                    <a:xfrm>
                      <a:off x="0" y="0"/>
                      <a:ext cx="5669280" cy="2108039"/>
                    </a:xfrm>
                    <a:prstGeom prst="rect"/>
                  </pic:spPr>
                </pic:pic>
              </a:graphicData>
            </a:graphic>
          </wp:inline>
        </w:drawing>
      </w:r>
    </w:p>
    <w:p>
      <w:pPr>
        <w:jc w:val="center"/>
      </w:pPr>
      <w:r>
        <w:rPr>
          <w:i/>
          <w:color w:val="555555"/>
          <w:sz w:val="19"/>
        </w:rPr>
        <w:t>Workspace variant (heavier storage, wider aisles) at higher density.</w:t>
      </w:r>
    </w:p>
    <w:p>
      <w:pPr>
        <w:pStyle w:val="Heading3"/>
      </w:pPr>
      <w:r>
        <w:t>5.3 Feasibility and capacity</w:t>
      </w:r>
    </w:p>
    <w:p>
      <w:pPr>
        <w:jc w:val="center"/>
      </w:pPr>
      <w:r>
        <w:drawing>
          <wp:inline xmlns:a="http://schemas.openxmlformats.org/drawingml/2006/main" xmlns:pic="http://schemas.openxmlformats.org/drawingml/2006/picture">
            <wp:extent cx="5669280" cy="2086579"/>
            <wp:docPr id="8" name="Picture 8"/>
            <wp:cNvGraphicFramePr>
              <a:graphicFrameLocks noChangeAspect="1"/>
            </wp:cNvGraphicFramePr>
            <a:graphic>
              <a:graphicData uri="http://schemas.openxmlformats.org/drawingml/2006/picture">
                <pic:pic>
                  <pic:nvPicPr>
                    <pic:cNvPr id="0" name="fig07_office_overpacked_montage.png"/>
                    <pic:cNvPicPr/>
                  </pic:nvPicPr>
                  <pic:blipFill>
                    <a:blip r:embed="rId16"/>
                    <a:stretch>
                      <a:fillRect/>
                    </a:stretch>
                  </pic:blipFill>
                  <pic:spPr>
                    <a:xfrm>
                      <a:off x="0" y="0"/>
                      <a:ext cx="5669280" cy="2086579"/>
                    </a:xfrm>
                    <a:prstGeom prst="rect"/>
                  </pic:spPr>
                </pic:pic>
              </a:graphicData>
            </a:graphic>
          </wp:inline>
        </w:drawing>
      </w:r>
    </w:p>
    <w:p>
      <w:pPr>
        <w:jc w:val="center"/>
      </w:pPr>
      <w:r>
        <w:rPr>
          <w:i/>
          <w:color w:val="555555"/>
          <w:sz w:val="19"/>
        </w:rPr>
        <w:t>Feasibility boundary: a deliberately overpacked small room. The solver reports infeasible rather than producing an overlapping (invalid) layout.</w:t>
      </w:r>
    </w:p>
    <w:p>
      <w:pPr>
        <w:jc w:val="center"/>
      </w:pPr>
      <w:r>
        <w:drawing>
          <wp:inline xmlns:a="http://schemas.openxmlformats.org/drawingml/2006/main" xmlns:pic="http://schemas.openxmlformats.org/drawingml/2006/picture">
            <wp:extent cx="5669280" cy="3142988"/>
            <wp:docPr id="9" name="Picture 9"/>
            <wp:cNvGraphicFramePr>
              <a:graphicFrameLocks noChangeAspect="1"/>
            </wp:cNvGraphicFramePr>
            <a:graphic>
              <a:graphicData uri="http://schemas.openxmlformats.org/drawingml/2006/picture">
                <pic:pic>
                  <pic:nvPicPr>
                    <pic:cNvPr id="0" name="fig08_capacity_sweep.png"/>
                    <pic:cNvPicPr/>
                  </pic:nvPicPr>
                  <pic:blipFill>
                    <a:blip r:embed="rId17"/>
                    <a:stretch>
                      <a:fillRect/>
                    </a:stretch>
                  </pic:blipFill>
                  <pic:spPr>
                    <a:xfrm>
                      <a:off x="0" y="0"/>
                      <a:ext cx="5669280" cy="3142988"/>
                    </a:xfrm>
                    <a:prstGeom prst="rect"/>
                  </pic:spPr>
                </pic:pic>
              </a:graphicData>
            </a:graphic>
          </wp:inline>
        </w:drawing>
      </w:r>
    </w:p>
    <w:p>
      <w:pPr>
        <w:jc w:val="center"/>
      </w:pPr>
      <w:r>
        <w:rPr>
          <w:i/>
          <w:color w:val="555555"/>
          <w:sz w:val="19"/>
        </w:rPr>
        <w:t>Capacity boundary: for each room size, the largest number of full workstations the solver can place before it becomes infeasible. The boundary scales with floor area.</w:t>
      </w:r>
    </w:p>
    <w:p>
      <w:pPr>
        <w:pStyle w:val="Heading2"/>
      </w:pPr>
      <w:r>
        <w:t>6. Interactive application</w:t>
      </w:r>
    </w:p>
    <w:p>
      <w:r>
        <w:t xml:space="preserve">A browser application (Flask backend, xeokit WebGL viewer) lets a user pick catalogue categories and counts, set room size/type, generate the layout, inspect it in 3D, and export. The preview is </w:t>
      </w:r>
      <w:r>
        <w:rPr>
          <w:b/>
        </w:rPr>
        <w:t>ephemeral</w:t>
      </w:r>
      <w:r>
        <w:t xml:space="preserve">: generation writes to a scratch area wiped on reset and on startup; </w:t>
      </w:r>
      <w:r>
        <w:rPr>
          <w:b/>
        </w:rPr>
        <w:t>nothing is saved until the user clicks Export</w:t>
      </w:r>
      <w:r>
        <w:t xml:space="preserve"> (CSV / GLB / IFC), which downloads the artefact. The viewer degrades gracefully when WebGL is unavailable (the object table and exports still work).</w:t>
      </w:r>
    </w:p>
    <w:p>
      <w:pPr>
        <w:pStyle w:val="Heading2"/>
      </w:pPr>
      <w:r>
        <w:t>7. Quantifying the single-view ceiling</w:t>
      </w:r>
    </w:p>
    <w:p>
      <w:r>
        <w:t>The May analysis *asserted* single-view reconstruction has a ceiling. We *measure* it.</w:t>
      </w:r>
    </w:p>
    <w:p>
      <w:pPr>
        <w:pStyle w:val="Heading3"/>
      </w:pPr>
      <w:r>
        <w:t>7.1 Method (ABO-as-ground-truth)</w:t>
      </w:r>
    </w:p>
    <w:p>
      <w:r>
        <w:t xml:space="preserve">Because we own 400 real meshes, we can render one to a synthetic photo, reconstruct it, and compare the result to the </w:t>
      </w:r>
      <w:r>
        <w:rPr>
          <w:b/>
        </w:rPr>
        <w:t>known original</w:t>
      </w:r>
      <w:r>
        <w:t xml:space="preserve"> — a clean ground-truth protocol most photo→3D studies cannot run. Both meshes are normalised (centred, unit bounding-box diagonal) and the reconstruction is aligned with multi-seed ICP (12 seed rotations × ICP, best kept). We then compute, on seeded (reproducible) surface samples:</w:t>
      </w:r>
    </w:p>
    <w:p>
      <w:pPr>
        <w:pStyle w:val="ListBullet"/>
      </w:pPr>
      <w:r>
        <w:rPr>
          <w:b/>
        </w:rPr>
        <w:t>Chamfer distance</w:t>
      </w:r>
      <w:r>
        <w:t xml:space="preserve"> — mean bidirectional nearest-neighbour distance (lower is better);</w:t>
      </w:r>
    </w:p>
    <w:p>
      <w:pPr>
        <w:pStyle w:val="ListBullet"/>
      </w:pPr>
      <w:r>
        <w:rPr>
          <w:b/>
        </w:rPr>
        <w:t>F-score @ τ = 0.02</w:t>
      </w:r>
      <w:r>
        <w:t xml:space="preserve"> — precision/recall of points within τ of the other surface;</w:t>
      </w:r>
    </w:p>
    <w:p>
      <w:pPr>
        <w:pStyle w:val="ListBullet"/>
      </w:pPr>
      <w:r>
        <w:rPr>
          <w:b/>
        </w:rPr>
        <w:t>precision</w:t>
      </w:r>
      <w:r>
        <w:t xml:space="preserve"> = reconstruction near ground truth; </w:t>
      </w:r>
      <w:r>
        <w:rPr>
          <w:b/>
        </w:rPr>
        <w:t>recall</w:t>
      </w:r>
      <w:r>
        <w:t xml:space="preserve"> = ground truth covered.</w:t>
      </w:r>
    </w:p>
    <w:p>
      <w:r>
        <w:t>The metric is validated by a self-test on degraded meshes: identity F = 1.00, decimated-20× F = 1.00, noisy-1% F = 0.99, a *different* object F = 0.18 — monotone and discriminating.</w:t>
      </w:r>
    </w:p>
    <w:p>
      <w:pPr>
        <w:pStyle w:val="Heading3"/>
      </w:pPr>
      <w:r>
        <w:t>7.2 Result (TripoSR baseline)</w:t>
      </w:r>
    </w:p>
    <w:p>
      <w:r>
        <w:t>End-to-end (render → TripoSR → score) on three office chairs, local RTX 4050: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object</w:t>
            </w:r>
          </w:p>
        </w:tc>
        <w:tc>
          <w:tcPr>
            <w:tcW w:type="dxa" w:w="1440"/>
          </w:tcPr>
          <w:p>
            <w:r>
              <w:rPr>
                <w:b/>
              </w:rPr>
              <w:t>chamfer</w:t>
            </w:r>
          </w:p>
        </w:tc>
        <w:tc>
          <w:tcPr>
            <w:tcW w:type="dxa" w:w="1440"/>
          </w:tcPr>
          <w:p>
            <w:r>
              <w:rPr>
                <w:b/>
              </w:rPr>
              <w:t>F@0.02</w:t>
            </w:r>
          </w:p>
        </w:tc>
        <w:tc>
          <w:tcPr>
            <w:tcW w:type="dxa" w:w="1440"/>
          </w:tcPr>
          <w:p>
            <w:r>
              <w:rPr>
                <w:b/>
              </w:rPr>
              <w:t>precision</w:t>
            </w:r>
          </w:p>
        </w:tc>
        <w:tc>
          <w:tcPr>
            <w:tcW w:type="dxa" w:w="1440"/>
          </w:tcPr>
          <w:p>
            <w:r>
              <w:rPr>
                <w:b/>
              </w:rPr>
              <w:t>recall</w:t>
            </w:r>
          </w:p>
        </w:tc>
        <w:tc>
          <w:tcPr>
            <w:tcW w:type="dxa" w:w="1440"/>
          </w:tcPr>
          <w:p>
            <w:r>
              <w:rPr>
                <w:b/>
              </w:rPr>
              <w:t>sec</w:t>
            </w:r>
          </w:p>
        </w:tc>
      </w:tr>
      <w:tr>
        <w:tc>
          <w:tcPr>
            <w:tcW w:type="dxa" w:w="1440"/>
          </w:tcPr>
          <w:p>
            <w:r>
              <w:t>chair B07DBH52YB</w:t>
            </w:r>
          </w:p>
        </w:tc>
        <w:tc>
          <w:tcPr>
            <w:tcW w:type="dxa" w:w="1440"/>
          </w:tcPr>
          <w:p>
            <w:r>
              <w:t>0.168</w:t>
            </w:r>
          </w:p>
        </w:tc>
        <w:tc>
          <w:tcPr>
            <w:tcW w:type="dxa" w:w="1440"/>
          </w:tcPr>
          <w:p>
            <w:r>
              <w:t>0.227</w:t>
            </w:r>
          </w:p>
        </w:tc>
        <w:tc>
          <w:tcPr>
            <w:tcW w:type="dxa" w:w="1440"/>
          </w:tcPr>
          <w:p>
            <w:r>
              <w:t>0.72</w:t>
            </w:r>
          </w:p>
        </w:tc>
        <w:tc>
          <w:tcPr>
            <w:tcW w:type="dxa" w:w="1440"/>
          </w:tcPr>
          <w:p>
            <w:r>
              <w:t>0.14</w:t>
            </w:r>
          </w:p>
        </w:tc>
        <w:tc>
          <w:tcPr>
            <w:tcW w:type="dxa" w:w="1440"/>
          </w:tcPr>
          <w:p>
            <w:r>
              <w:t>23</w:t>
            </w:r>
          </w:p>
        </w:tc>
      </w:tr>
      <w:tr>
        <w:tc>
          <w:tcPr>
            <w:tcW w:type="dxa" w:w="1440"/>
          </w:tcPr>
          <w:p>
            <w:r>
              <w:t>chair B076HDDMKM</w:t>
            </w:r>
          </w:p>
        </w:tc>
        <w:tc>
          <w:tcPr>
            <w:tcW w:type="dxa" w:w="1440"/>
          </w:tcPr>
          <w:p>
            <w:r>
              <w:t>0.165</w:t>
            </w:r>
          </w:p>
        </w:tc>
        <w:tc>
          <w:tcPr>
            <w:tcW w:type="dxa" w:w="1440"/>
          </w:tcPr>
          <w:p>
            <w:r>
              <w:t>0.087</w:t>
            </w:r>
          </w:p>
        </w:tc>
        <w:tc>
          <w:tcPr>
            <w:tcW w:type="dxa" w:w="1440"/>
          </w:tcPr>
          <w:p>
            <w:r>
              <w:t>0.88</w:t>
            </w:r>
          </w:p>
        </w:tc>
        <w:tc>
          <w:tcPr>
            <w:tcW w:type="dxa" w:w="1440"/>
          </w:tcPr>
          <w:p>
            <w:r>
              <w:t>0.05</w:t>
            </w:r>
          </w:p>
        </w:tc>
        <w:tc>
          <w:tcPr>
            <w:tcW w:type="dxa" w:w="1440"/>
          </w:tcPr>
          <w:p>
            <w:r>
              <w:t>13</w:t>
            </w:r>
          </w:p>
        </w:tc>
      </w:tr>
      <w:tr>
        <w:tc>
          <w:tcPr>
            <w:tcW w:type="dxa" w:w="1440"/>
          </w:tcPr>
          <w:p>
            <w:r>
              <w:t>chair B075ZZYH4B</w:t>
            </w:r>
          </w:p>
        </w:tc>
        <w:tc>
          <w:tcPr>
            <w:tcW w:type="dxa" w:w="1440"/>
          </w:tcPr>
          <w:p>
            <w:r>
              <w:t>0.175</w:t>
            </w:r>
          </w:p>
        </w:tc>
        <w:tc>
          <w:tcPr>
            <w:tcW w:type="dxa" w:w="1440"/>
          </w:tcPr>
          <w:p>
            <w:r>
              <w:t>0.151</w:t>
            </w:r>
          </w:p>
        </w:tc>
        <w:tc>
          <w:tcPr>
            <w:tcW w:type="dxa" w:w="1440"/>
          </w:tcPr>
          <w:p>
            <w:r>
              <w:t>0.84</w:t>
            </w:r>
          </w:p>
        </w:tc>
        <w:tc>
          <w:tcPr>
            <w:tcW w:type="dxa" w:w="1440"/>
          </w:tcPr>
          <w:p>
            <w:r>
              <w:t>0.08</w:t>
            </w:r>
          </w:p>
        </w:tc>
        <w:tc>
          <w:tcPr>
            <w:tcW w:type="dxa" w:w="1440"/>
          </w:tcPr>
          <w:p>
            <w:r>
              <w:t>12</w:t>
            </w:r>
          </w:p>
        </w:tc>
      </w:tr>
      <w:tr>
        <w:tc>
          <w:tcPr>
            <w:tcW w:type="dxa" w:w="1440"/>
          </w:tcPr>
          <w:p>
            <w:r>
              <w:rPr>
                <w:b/>
              </w:rPr>
              <w:t>mean</w:t>
            </w:r>
          </w:p>
        </w:tc>
        <w:tc>
          <w:tcPr>
            <w:tcW w:type="dxa" w:w="1440"/>
          </w:tcPr>
          <w:p>
            <w:r>
              <w:rPr>
                <w:b/>
              </w:rPr>
              <w:t>0.169</w:t>
            </w:r>
          </w:p>
        </w:tc>
        <w:tc>
          <w:tcPr>
            <w:tcW w:type="dxa" w:w="1440"/>
          </w:tcPr>
          <w:p>
            <w:r>
              <w:rPr>
                <w:b/>
              </w:rPr>
              <w:t>0.155</w:t>
            </w:r>
          </w:p>
        </w:tc>
        <w:tc>
          <w:tcPr>
            <w:tcW w:type="dxa" w:w="1440"/>
          </w:tcPr>
          <w:p>
            <w:r>
              <w:rPr>
                <w:b/>
              </w:rPr>
              <w:t>~0.81</w:t>
            </w:r>
          </w:p>
        </w:tc>
        <w:tc>
          <w:tcPr>
            <w:tcW w:type="dxa" w:w="1440"/>
          </w:tcPr>
          <w:p>
            <w:r>
              <w:rPr>
                <w:b/>
              </w:rPr>
              <w:t>~0.09</w:t>
            </w:r>
          </w:p>
        </w:tc>
        <w:tc>
          <w:tcPr>
            <w:tcW w:type="dxa" w:w="1440"/>
          </w:tcPr>
          <w:p/>
        </w:tc>
      </w:tr>
    </w:tbl>
    <w:p/>
    <w:p>
      <w:pPr>
        <w:jc w:val="center"/>
      </w:pPr>
      <w:r>
        <w:drawing>
          <wp:inline xmlns:a="http://schemas.openxmlformats.org/drawingml/2006/main" xmlns:pic="http://schemas.openxmlformats.org/drawingml/2006/picture">
            <wp:extent cx="5669280" cy="1979799"/>
            <wp:docPr id="10" name="Picture 10"/>
            <wp:cNvGraphicFramePr>
              <a:graphicFrameLocks noChangeAspect="1"/>
            </wp:cNvGraphicFramePr>
            <a:graphic>
              <a:graphicData uri="http://schemas.openxmlformats.org/drawingml/2006/picture">
                <pic:pic>
                  <pic:nvPicPr>
                    <pic:cNvPr id="0" name="fig09_accuracy_triposr.png"/>
                    <pic:cNvPicPr/>
                  </pic:nvPicPr>
                  <pic:blipFill>
                    <a:blip r:embed="rId18"/>
                    <a:stretch>
                      <a:fillRect/>
                    </a:stretch>
                  </pic:blipFill>
                  <pic:spPr>
                    <a:xfrm>
                      <a:off x="0" y="0"/>
                      <a:ext cx="5669280" cy="1979799"/>
                    </a:xfrm>
                    <a:prstGeom prst="rect"/>
                  </pic:spPr>
                </pic:pic>
              </a:graphicData>
            </a:graphic>
          </wp:inline>
        </w:drawing>
      </w:r>
    </w:p>
    <w:p>
      <w:pPr>
        <w:jc w:val="center"/>
      </w:pPr>
      <w:r>
        <w:rPr>
          <w:i/>
          <w:color w:val="555555"/>
          <w:sz w:val="19"/>
        </w:rPr>
        <w:t>Single-image→3D accuracy (TripoSR vs ABO ground truth). Left: per-object Chamfer distance sits near the different-object reference, far above identity. Right: precision (~0.81) far exceeds recall (~0.09) — the single-view ceiling.</w:t>
      </w:r>
    </w:p>
    <w:p>
      <w:r>
        <w:rPr>
          <w:b/>
        </w:rPr>
        <w:t>Interpretation.</w:t>
      </w:r>
      <w:r>
        <w:t xml:space="preserve"> Precision is high but recall is low: TripoSR reconstructs the *visible* surface fairly accurately yet recovers only ~9% of the true surface — it cannot see the back/sides from one photo. On coverage, a single-view reconstruction of the *correct* chair is in the same regime as a *wrong* chair. This is usable for client visualisation, not for BIM-grade geometry, exactly as the original analysis predicted — now with numbers. The same, identical metric scores all four generators in the cloud bake-off (TripoSR / InstantMesh / TRELLIS / SAM 3D); that comparison table is the next data point.</w:t>
      </w:r>
    </w:p>
    <w:p>
      <w:pPr>
        <w:pStyle w:val="Heading2"/>
      </w:pPr>
      <w:r>
        <w:t>8. Licensing and production cost</w:t>
      </w:r>
    </w:p>
    <w:p>
      <w:r>
        <w:t xml:space="preserve">The shippable stack is </w:t>
      </w:r>
      <w:r>
        <w:rPr>
          <w:b/>
        </w:rPr>
        <w:t>MIT / Apache / BSD / CC-BY only</w:t>
      </w:r>
      <w:r>
        <w:t xml:space="preserve"> — no non-commercial terms, no revenue caps, no EU exclusions. Allowed: TripoSR (MIT), InstantMesh (Apache-2.0), TRELLIS (MIT), SAM 3D Objects (commercial-OK), Depth Anything V2 Small (Apache-2.0), ABO (CC-BY-4.0), OR-Tools (Apache-2.0), xeokit (MIT), IfcOpenShell, FAISS. Rejected: Hunyuan3D-2 (EU excluded), Stable Fast 3D ($1M cap), Wonder3D (CC-BY-NC), YOLOv8/Ultralytics (AGPL).</w:t>
      </w:r>
    </w:p>
    <w:p>
      <w:r>
        <w:rPr>
          <w:b/>
        </w:rPr>
        <w:t>Cost (production).</w:t>
      </w:r>
      <w:r>
        <w:t xml:space="preserve"> Licence royalties: </w:t>
      </w:r>
      <w:r>
        <w:rPr>
          <w:b/>
        </w:rPr>
        <w:t>$0, forever</w:t>
      </w:r>
      <w:r>
        <w:t xml:space="preserve">. Infrastructure: a single hosted GPU (Hetzner GEX44, Heilbronn) at </w:t>
      </w:r>
      <w:r>
        <w:rPr>
          <w:b/>
        </w:rPr>
        <w:t>≈€185/month</w:t>
      </w:r>
      <w:r>
        <w:t xml:space="preserve">, GDPR-clean, with marginal cost driven </w:t>
      </w:r>
      <w:r>
        <w:rPr>
          <w:b/>
        </w:rPr>
        <w:t>below $0.005 per room</w:t>
      </w:r>
      <w:r>
        <w:t xml:space="preserve"> at scale (retrieval covers most items; only a few need fresh generation; OR-Tools runs on CPU; a self-hosted LLM removes per-call API cost).</w:t>
      </w:r>
    </w:p>
    <w:p>
      <w:pPr>
        <w:pStyle w:val="Heading2"/>
      </w:pPr>
      <w:r>
        <w:t>9. Discussion and future work</w:t>
      </w:r>
    </w:p>
    <w:p>
      <w:pPr>
        <w:pStyle w:val="ListBullet"/>
      </w:pPr>
      <w:r>
        <w:rPr>
          <w:b/>
        </w:rPr>
        <w:t>Past the single-view ceiling:</w:t>
      </w:r>
      <w:r>
        <w:t xml:space="preserve"> the route to *metric* accuracy is </w:t>
      </w:r>
      <w:r>
        <w:rPr>
          <w:b/>
        </w:rPr>
        <w:t>multi-view</w:t>
      </w:r>
    </w:p>
    <w:p>
      <w:r>
        <w:t xml:space="preserve">  (3–5 photos / photogrammetry) plus </w:t>
      </w:r>
      <w:r>
        <w:rPr>
          <w:b/>
        </w:rPr>
        <w:t>absolute-scale calibration</w:t>
      </w:r>
      <w:r>
        <w:t>, not a better single-image   model. These are the next milestones.</w:t>
      </w:r>
    </w:p>
    <w:p>
      <w:pPr>
        <w:pStyle w:val="ListBullet"/>
      </w:pPr>
      <w:r>
        <w:rPr>
          <w:b/>
        </w:rPr>
        <w:t>IFC fidelity rides on detection + dimensions, not mesh quality</w:t>
      </w:r>
      <w:r>
        <w:t xml:space="preserve"> — so the BIM goal is more</w:t>
      </w:r>
    </w:p>
    <w:p>
      <w:r>
        <w:t xml:space="preserve">  tractable than perfect geometry: correct object class + correct real-world size suffice for a   valid, useful IFC schedule, with retrieval supplying clean geometry.</w:t>
      </w:r>
    </w:p>
    <w:p>
      <w:pPr>
        <w:pStyle w:val="ListBullet"/>
      </w:pPr>
      <w:r>
        <w:rPr>
          <w:b/>
        </w:rPr>
        <w:t>Open items:</w:t>
      </w:r>
      <w:r>
        <w:t xml:space="preserve"> per-item catalogue browsing over all 400 meshes; photo→retrieval wired into</w:t>
      </w:r>
    </w:p>
    <w:p>
      <w:r>
        <w:t xml:space="preserve">  the app; the 4-way cloud bake-off; a desktop build.</w:t>
      </w:r>
    </w:p>
    <w:p>
      <w:pPr>
        <w:pStyle w:val="Heading2"/>
      </w:pPr>
      <w:r>
        <w:t>10. Conclusion</w:t>
      </w:r>
    </w:p>
    <w:p>
      <w:r>
        <w:t xml:space="preserve">The original project proved an end-to-end pipeline could be built; the original *premise* — single-view reconstruction → BIM-grade IFC — was unsound. Acting on that, we built a working </w:t>
      </w:r>
      <w:r>
        <w:rPr>
          <w:b/>
        </w:rPr>
        <w:t>retrieval-and-layout</w:t>
      </w:r>
      <w:r>
        <w:t xml:space="preserve"> system that produces functional, exportable room models from a real catalogue, and we replaced the "single-view is limited" assertion with a </w:t>
      </w:r>
      <w:r>
        <w:rPr>
          <w:b/>
        </w:rPr>
        <w:t>reproducible measurement</w:t>
      </w:r>
      <w:r>
        <w:t xml:space="preserve"> of that limit. The engineering infrastructure (web frontend, processing bridge, IFC export, 3D viewer) was repurposed into a corrected architecture, and the accuracy harness gives the project — and the paper — empirical ground to stand on.</w:t>
      </w:r>
    </w:p>
    <w:p>
      <w:pPr>
        <w:pStyle w:val="Heading2"/>
      </w:pPr>
      <w:r>
        <w:t>Appendix A — Figure index and reproducibility</w:t>
      </w:r>
    </w:p>
    <w:p>
      <w:r>
        <w:t>All figures are server-side renders, regenerated from the pipeline by:</w:t>
      </w:r>
    </w:p>
    <w:p>
      <w:r>
        <w:rPr>
          <w:rFonts w:ascii="Consolas" w:hAnsi="Consolas"/>
          <w:sz w:val="18"/>
        </w:rPr>
        <w:t>python backend/python-scripts/make_paper_figures.py     # fig00–fig08 + figures.tex</w:t>
        <w:br/>
        <w:t>python backend/python-scripts/eval_photo3d.py --category office_chair --n 3   # accuracy data</w:t>
        <w:br/>
        <w:t>python backend/python-scripts/make_accuracy_figure.py   # fig09</w:t>
        <w:br/>
        <w:t>python backend/python-scripts/make_results_plate.py     # results_plate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Figure</w:t>
            </w:r>
          </w:p>
        </w:tc>
        <w:tc>
          <w:tcPr>
            <w:tcW w:type="dxa" w:w="4320"/>
          </w:tcPr>
          <w:p>
            <w:r>
              <w:rPr>
                <w:b/>
              </w:rPr>
              <w:t>File</w:t>
            </w:r>
          </w:p>
        </w:tc>
      </w:tr>
      <w:tr>
        <w:tc>
          <w:tcPr>
            <w:tcW w:type="dxa" w:w="4320"/>
          </w:tcPr>
          <w:p>
            <w:r>
              <w:t>Overview</w:t>
            </w:r>
          </w:p>
        </w:tc>
        <w:tc>
          <w:tcPr>
            <w:tcW w:type="dxa" w:w="4320"/>
          </w:tcPr>
          <w:p>
            <w:r>
              <w:t>figures/fig00_overview.png</w:t>
            </w:r>
          </w:p>
        </w:tc>
      </w:tr>
      <w:tr>
        <w:tc>
          <w:tcPr>
            <w:tcW w:type="dxa" w:w="4320"/>
          </w:tcPr>
          <w:p>
            <w:r>
              <w:t>Single workstation</w:t>
            </w:r>
          </w:p>
        </w:tc>
        <w:tc>
          <w:tcPr>
            <w:tcW w:type="dxa" w:w="4320"/>
          </w:tcPr>
          <w:p>
            <w:r>
              <w:t>figures/fig01_office_single_montage.png</w:t>
            </w:r>
          </w:p>
        </w:tc>
      </w:tr>
      <w:tr>
        <w:tc>
          <w:tcPr>
            <w:tcW w:type="dxa" w:w="4320"/>
          </w:tcPr>
          <w:p>
            <w:r>
              <w:t>Team office</w:t>
            </w:r>
          </w:p>
        </w:tc>
        <w:tc>
          <w:tcPr>
            <w:tcW w:type="dxa" w:w="4320"/>
          </w:tcPr>
          <w:p>
            <w:r>
              <w:t>figures/fig02_office_team_montage.png</w:t>
            </w:r>
          </w:p>
        </w:tc>
      </w:tr>
      <w:tr>
        <w:tc>
          <w:tcPr>
            <w:tcW w:type="dxa" w:w="4320"/>
          </w:tcPr>
          <w:p>
            <w:r>
              <w:t>Obstacles + door</w:t>
            </w:r>
          </w:p>
        </w:tc>
        <w:tc>
          <w:tcPr>
            <w:tcW w:type="dxa" w:w="4320"/>
          </w:tcPr>
          <w:p>
            <w:r>
              <w:t>figures/fig03_office_obstacles_montage.png</w:t>
            </w:r>
          </w:p>
        </w:tc>
      </w:tr>
      <w:tr>
        <w:tc>
          <w:tcPr>
            <w:tcW w:type="dxa" w:w="4320"/>
          </w:tcPr>
          <w:p>
            <w:r>
              <w:t>ADA</w:t>
            </w:r>
          </w:p>
        </w:tc>
        <w:tc>
          <w:tcPr>
            <w:tcW w:type="dxa" w:w="4320"/>
          </w:tcPr>
          <w:p>
            <w:r>
              <w:t>figures/fig04_office_ada_montage.png</w:t>
            </w:r>
          </w:p>
        </w:tc>
      </w:tr>
      <w:tr>
        <w:tc>
          <w:tcPr>
            <w:tcW w:type="dxa" w:w="4320"/>
          </w:tcPr>
          <w:p>
            <w:r>
              <w:t>Living room</w:t>
            </w:r>
          </w:p>
        </w:tc>
        <w:tc>
          <w:tcPr>
            <w:tcW w:type="dxa" w:w="4320"/>
          </w:tcPr>
          <w:p>
            <w:r>
              <w:t>figures/fig05_living_room_montage.png</w:t>
            </w:r>
          </w:p>
        </w:tc>
      </w:tr>
      <w:tr>
        <w:tc>
          <w:tcPr>
            <w:tcW w:type="dxa" w:w="4320"/>
          </w:tcPr>
          <w:p>
            <w:r>
              <w:t>Dense workspace</w:t>
            </w:r>
          </w:p>
        </w:tc>
        <w:tc>
          <w:tcPr>
            <w:tcW w:type="dxa" w:w="4320"/>
          </w:tcPr>
          <w:p>
            <w:r>
              <w:t>figures/fig06_workspace_dense_montage.png</w:t>
            </w:r>
          </w:p>
        </w:tc>
      </w:tr>
      <w:tr>
        <w:tc>
          <w:tcPr>
            <w:tcW w:type="dxa" w:w="4320"/>
          </w:tcPr>
          <w:p>
            <w:r>
              <w:t>Overpacked (infeasible)</w:t>
            </w:r>
          </w:p>
        </w:tc>
        <w:tc>
          <w:tcPr>
            <w:tcW w:type="dxa" w:w="4320"/>
          </w:tcPr>
          <w:p>
            <w:r>
              <w:t>figures/fig07_office_overpacked_montage.png</w:t>
            </w:r>
          </w:p>
        </w:tc>
      </w:tr>
      <w:tr>
        <w:tc>
          <w:tcPr>
            <w:tcW w:type="dxa" w:w="4320"/>
          </w:tcPr>
          <w:p>
            <w:r>
              <w:t>Capacity sweep</w:t>
            </w:r>
          </w:p>
        </w:tc>
        <w:tc>
          <w:tcPr>
            <w:tcW w:type="dxa" w:w="4320"/>
          </w:tcPr>
          <w:p>
            <w:r>
              <w:t>figures/fig08_capacity_sweep.png</w:t>
            </w:r>
          </w:p>
        </w:tc>
      </w:tr>
      <w:tr>
        <w:tc>
          <w:tcPr>
            <w:tcW w:type="dxa" w:w="4320"/>
          </w:tcPr>
          <w:p>
            <w:r>
              <w:t>Photo→3D accuracy</w:t>
            </w:r>
          </w:p>
        </w:tc>
        <w:tc>
          <w:tcPr>
            <w:tcW w:type="dxa" w:w="4320"/>
          </w:tcPr>
          <w:p>
            <w:r>
              <w:t>figures/fig09_accuracy_triposr.png</w:t>
            </w:r>
          </w:p>
        </w:tc>
      </w:tr>
      <w:tr>
        <w:tc>
          <w:tcPr>
            <w:tcW w:type="dxa" w:w="4320"/>
          </w:tcPr>
          <w:p>
            <w:r>
              <w:t>Composite plate</w:t>
            </w:r>
          </w:p>
        </w:tc>
        <w:tc>
          <w:tcPr>
            <w:tcW w:type="dxa" w:w="4320"/>
          </w:tcPr>
          <w:p>
            <w:r>
              <w:t>figures/results_plate.png</w:t>
            </w:r>
          </w:p>
        </w:tc>
      </w:tr>
    </w:tbl>
    <w:p/>
    <w:p>
      <w:pPr>
        <w:pStyle w:val="Heading2"/>
      </w:pPr>
      <w:r>
        <w:t>Appendix B — Source documents folded into this paper</w:t>
      </w:r>
    </w:p>
    <w:p>
      <w:r>
        <w:t xml:space="preserve">papers/Research_Paper_3D_to_IFC_Critical_Analysis.md (May 2026 critical analysis); docs/ACCURACY_RESULTS.md; docs/FINDINGS.md; docs/COST_MODEL.md; docs/PAPER_ASSETS.md. Full source code and history: GitHub branch </w:t>
      </w:r>
      <w:r>
        <w:rPr>
          <w:rFonts w:ascii="Consolas" w:hAnsi="Consolas"/>
          <w:sz w:val="19"/>
        </w:rPr>
        <w:t>app-development</w:t>
      </w: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