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Bdr>
          <w:bottom w:val="single" w:sz="24" w:space="1" w:color="2FAD79"/>
        </w:pBdr>
      </w:pPr>
    </w:p>
    <w:p>
      <w:pPr>
        <w:spacing w:before="360" w:after="200"/>
        <w:jc w:val="left"/>
      </w:pPr>
      <w:r>
        <w:rPr>
          <w:rFonts w:ascii="Arimo" w:hAnsi="Arimo"/>
          <w:b/>
          <w:color w:val="111111"/>
          <w:sz w:val="56"/>
        </w:rPr>
        <w:t>Virtual Proving Ground for RainForest Climate Strategies</w:t>
      </w:r>
    </w:p>
    <w:p>
      <w:pPr>
        <w:spacing w:after="400"/>
      </w:pPr>
      <w:r>
        <w:rPr>
          <w:rFonts w:ascii="Arimo" w:hAnsi="Arimo"/>
          <w:color w:val="5E7068"/>
          <w:sz w:val="30"/>
        </w:rPr>
        <w:t>Speaker script, delivery cues, and prepared Q&amp;A</w:t>
      </w:r>
    </w:p>
    <w:p>
      <w:pPr>
        <w:jc w:val="center"/>
      </w:pPr>
      <w:r>
        <w:drawing>
          <wp:inline xmlns:a="http://schemas.openxmlformats.org/drawingml/2006/main" xmlns:pic="http://schemas.openxmlformats.org/drawingml/2006/picture">
            <wp:extent cx="6400800" cy="3600450"/>
            <wp:docPr id="1" name="Picture 1"/>
            <wp:cNvGraphicFramePr>
              <a:graphicFrameLocks noChangeAspect="1"/>
            </wp:cNvGraphicFramePr>
            <a:graphic>
              <a:graphicData uri="http://schemas.openxmlformats.org/drawingml/2006/picture">
                <pic:pic>
                  <pic:nvPicPr>
                    <pic:cNvPr id="0" name="app_initial.png"/>
                    <pic:cNvPicPr/>
                  </pic:nvPicPr>
                  <pic:blipFill>
                    <a:blip r:embed="rId11"/>
                    <a:stretch>
                      <a:fillRect/>
                    </a:stretch>
                  </pic:blipFill>
                  <pic:spPr>
                    <a:xfrm>
                      <a:off x="0" y="0"/>
                      <a:ext cx="6400800" cy="3600450"/>
                    </a:xfrm>
                    <a:prstGeom prst="rect"/>
                  </pic:spPr>
                </pic:pic>
              </a:graphicData>
            </a:graphic>
          </wp:inline>
        </w:drawing>
      </w:r>
    </w:p>
    <w:p>
      <w:pPr>
        <w:spacing w:before="320" w:after="40"/>
      </w:pPr>
      <w:r>
        <w:rPr>
          <w:rFonts w:ascii="Arimo" w:hAnsi="Arimo"/>
          <w:b/>
          <w:color w:val="111111"/>
          <w:sz w:val="24"/>
        </w:rPr>
        <w:t>Dimitri Bolt</w:t>
      </w:r>
    </w:p>
    <w:p>
      <w:pPr>
        <w:spacing w:after="200"/>
      </w:pPr>
      <w:r>
        <w:rPr>
          <w:rFonts w:ascii="Arimo" w:hAnsi="Arimo"/>
          <w:color w:val="5E7068"/>
          <w:sz w:val="21"/>
        </w:rPr>
        <w:t>Academic supervision: Dr. Ildar Gabitov</w:t>
      </w:r>
    </w:p>
    <w:tbl>
      <w:tblPr>
        <w:tblW w:type="auto" w:w="0"/>
        <w:jc w:val="left"/>
        <w:tblLayout w:type="fixed"/>
        <w:tblLook w:firstColumn="1" w:firstRow="1" w:lastColumn="0" w:lastRow="0" w:noHBand="0" w:noVBand="1" w:val="04A0"/>
      </w:tblPr>
      <w:tblGrid>
        <w:gridCol w:w="3024"/>
        <w:gridCol w:w="7056"/>
      </w:tblGrid>
      <w:tr>
        <w:tc>
          <w:tcPr>
            <w:tcW w:type="dxa" w:w="5083"/>
            <w:shd w:fill="EAF5EF"/>
            <w:tcMar>
              <w:top w:w="70" w:type="dxa"/>
              <w:start w:w="100" w:type="dxa"/>
              <w:bottom w:w="70" w:type="dxa"/>
              <w:end w:w="100" w:type="dxa"/>
            </w:tcMar>
            <w:vAlign w:val="center"/>
            <w:tcBorders>
              <w:bottom w:val="single" w:sz="4" w:color="FFFFFF"/>
            </w:tcBorders>
          </w:tcPr>
          <w:p>
            <w:r>
              <w:rPr>
                <w:rFonts w:ascii="Arimo" w:hAnsi="Arimo"/>
                <w:b/>
                <w:sz w:val="19"/>
              </w:rPr>
              <w:t>Target</w:t>
            </w:r>
          </w:p>
        </w:tc>
        <w:tc>
          <w:tcPr>
            <w:tcW w:type="dxa" w:w="5083"/>
            <w:shd w:fill="F4F7F3"/>
            <w:tcMar>
              <w:top w:w="70" w:type="dxa"/>
              <w:start w:w="100" w:type="dxa"/>
              <w:bottom w:w="70" w:type="dxa"/>
              <w:end w:w="100" w:type="dxa"/>
            </w:tcMar>
            <w:vAlign w:val="center"/>
            <w:tcBorders>
              <w:bottom w:val="single" w:sz="4" w:color="FFFFFF"/>
            </w:tcBorders>
          </w:tcPr>
          <w:p>
            <w:r>
              <w:rPr>
                <w:rFonts w:ascii="Arimo" w:hAnsi="Arimo"/>
                <w:sz w:val="19"/>
              </w:rPr>
              <w:t>18–20 minutes; scripted maximum 19:35</w:t>
            </w:r>
          </w:p>
        </w:tc>
      </w:tr>
      <w:tr>
        <w:tc>
          <w:tcPr>
            <w:tcW w:type="dxa" w:w="3024"/>
            <w:shd w:fill="EAF5EF"/>
            <w:tcMar>
              <w:top w:w="70" w:type="dxa"/>
              <w:start w:w="100" w:type="dxa"/>
              <w:bottom w:w="70" w:type="dxa"/>
              <w:end w:w="100" w:type="dxa"/>
            </w:tcMar>
            <w:vAlign w:val="center"/>
            <w:tcBorders>
              <w:bottom w:val="single" w:sz="4" w:color="FFFFFF"/>
            </w:tcBorders>
          </w:tcPr>
          <w:p>
            <w:r>
              <w:rPr>
                <w:rFonts w:ascii="Arimo" w:hAnsi="Arimo"/>
                <w:b/>
                <w:sz w:val="19"/>
              </w:rPr>
              <w:t>Audience</w:t>
            </w:r>
          </w:p>
        </w:tc>
        <w:tc>
          <w:tcPr>
            <w:tcW w:type="dxa" w:w="7056"/>
            <w:shd w:fill="F4F7F3"/>
            <w:tcMar>
              <w:top w:w="70" w:type="dxa"/>
              <w:start w:w="100" w:type="dxa"/>
              <w:bottom w:w="70" w:type="dxa"/>
              <w:end w:w="100" w:type="dxa"/>
            </w:tcMar>
            <w:vAlign w:val="center"/>
            <w:tcBorders>
              <w:bottom w:val="single" w:sz="4" w:color="FFFFFF"/>
            </w:tcBorders>
          </w:tcPr>
          <w:p>
            <w:r>
              <w:rPr>
                <w:rFonts w:ascii="Arimo" w:hAnsi="Arimo"/>
                <w:sz w:val="19"/>
              </w:rPr>
              <w:t>Biosphere 2 leadership</w:t>
            </w:r>
          </w:p>
        </w:tc>
      </w:tr>
      <w:tr>
        <w:tc>
          <w:tcPr>
            <w:tcW w:type="dxa" w:w="3024"/>
            <w:shd w:fill="EAF5EF"/>
            <w:tcMar>
              <w:top w:w="70" w:type="dxa"/>
              <w:start w:w="100" w:type="dxa"/>
              <w:bottom w:w="70" w:type="dxa"/>
              <w:end w:w="100" w:type="dxa"/>
            </w:tcMar>
            <w:vAlign w:val="center"/>
            <w:tcBorders>
              <w:bottom w:val="single" w:sz="4" w:color="FFFFFF"/>
            </w:tcBorders>
          </w:tcPr>
          <w:p>
            <w:r>
              <w:rPr>
                <w:rFonts w:ascii="Arimo" w:hAnsi="Arimo"/>
                <w:b/>
                <w:sz w:val="19"/>
              </w:rPr>
              <w:t>Decision</w:t>
            </w:r>
          </w:p>
        </w:tc>
        <w:tc>
          <w:tcPr>
            <w:tcW w:type="dxa" w:w="7056"/>
            <w:shd w:fill="F4F7F3"/>
            <w:tcMar>
              <w:top w:w="70" w:type="dxa"/>
              <w:start w:w="100" w:type="dxa"/>
              <w:bottom w:w="70" w:type="dxa"/>
              <w:end w:w="100" w:type="dxa"/>
            </w:tcMar>
            <w:vAlign w:val="center"/>
            <w:tcBorders>
              <w:bottom w:val="single" w:sz="4" w:color="FFFFFF"/>
            </w:tcBorders>
          </w:tcPr>
          <w:p>
            <w:r>
              <w:rPr>
                <w:rFonts w:ascii="Arimo" w:hAnsi="Arimo"/>
                <w:sz w:val="19"/>
              </w:rPr>
              <w:t>Approve a scoped 16-week offline Proof of Concept</w:t>
            </w:r>
          </w:p>
        </w:tc>
      </w:tr>
      <w:tr>
        <w:tc>
          <w:tcPr>
            <w:tcW w:type="dxa" w:w="3024"/>
            <w:shd w:fill="EAF5EF"/>
            <w:tcMar>
              <w:top w:w="70" w:type="dxa"/>
              <w:start w:w="100" w:type="dxa"/>
              <w:bottom w:w="70" w:type="dxa"/>
              <w:end w:w="100" w:type="dxa"/>
            </w:tcMar>
            <w:vAlign w:val="center"/>
            <w:tcBorders>
              <w:bottom w:val="single" w:sz="4" w:color="FFFFFF"/>
            </w:tcBorders>
          </w:tcPr>
          <w:p>
            <w:r>
              <w:rPr>
                <w:rFonts w:ascii="Arimo" w:hAnsi="Arimo"/>
                <w:b/>
                <w:sz w:val="19"/>
              </w:rPr>
              <w:t>Demo status</w:t>
            </w:r>
          </w:p>
        </w:tc>
        <w:tc>
          <w:tcPr>
            <w:tcW w:type="dxa" w:w="7056"/>
            <w:shd w:fill="F4F7F3"/>
            <w:tcMar>
              <w:top w:w="70" w:type="dxa"/>
              <w:start w:w="100" w:type="dxa"/>
              <w:bottom w:w="70" w:type="dxa"/>
              <w:end w:w="100" w:type="dxa"/>
            </w:tcMar>
            <w:vAlign w:val="center"/>
            <w:tcBorders>
              <w:bottom w:val="single" w:sz="4" w:color="FFFFFF"/>
            </w:tcBorders>
          </w:tcPr>
          <w:p>
            <w:r>
              <w:rPr>
                <w:rFonts w:ascii="Arimo" w:hAnsi="Arimo"/>
                <w:sz w:val="19"/>
              </w:rPr>
              <w:t>Illustrative workflow; not yet model-generated</w:t>
            </w:r>
          </w:p>
        </w:tc>
      </w:tr>
    </w:tbl>
    <w:p>
      <w:pPr>
        <w:spacing w:before="200"/>
        <w:jc w:val="center"/>
      </w:pPr>
      <w:r>
        <w:rPr>
          <w:rFonts w:ascii="Arimo" w:hAnsi="Arimo"/>
          <w:color w:val="167A55"/>
          <w:sz w:val="19"/>
        </w:rPr>
        <w:t>https://rainforest-virtual-proving-ground.bolt.linkpc.net/</w:t>
      </w:r>
    </w:p>
    <w:p>
      <w:pPr>
        <w:pageBreakBefore/>
        <w:spacing w:after="60"/>
      </w:pPr>
      <w:r>
        <w:rPr>
          <w:rFonts w:ascii="Arimo" w:hAnsi="Arimo"/>
          <w:b/>
          <w:color w:val="167A55"/>
          <w:sz w:val="18"/>
        </w:rPr>
        <w:t>ONE-PAGE MEMORY MAP</w:t>
      </w:r>
    </w:p>
    <w:p>
      <w:pPr>
        <w:pStyle w:val="Heading1"/>
      </w:pPr>
      <w:r>
        <w:t>The story in six beats</w:t>
      </w:r>
    </w:p>
    <w:p>
      <w:pPr>
        <w:spacing w:after="200"/>
      </w:pPr>
      <w:r>
        <w:rPr>
          <w:rFonts w:ascii="Arimo" w:hAnsi="Arimo"/>
          <w:b/>
          <w:sz w:val="23"/>
        </w:rPr>
        <w:t>Thesis: a shared simulation environment would support existing climate-control research and help students test, understand, and improve their projects.</w:t>
      </w:r>
    </w:p>
    <w:tbl>
      <w:tblPr>
        <w:tblW w:type="auto" w:w="0"/>
        <w:jc w:val="center"/>
        <w:tblLayout w:type="fixed"/>
        <w:tblLook w:firstColumn="1" w:firstRow="1" w:lastColumn="0" w:lastRow="0" w:noHBand="0" w:noVBand="1" w:val="04A0"/>
      </w:tblPr>
      <w:tblGrid>
        <w:gridCol w:w="3389"/>
        <w:gridCol w:w="3389"/>
        <w:gridCol w:w="3389"/>
      </w:tblGrid>
      <w:tr>
        <w:tc>
          <w:tcPr>
            <w:tcW w:type="dxa" w:w="835"/>
            <w:tcMar>
              <w:top w:w="85" w:type="dxa"/>
              <w:start w:w="90" w:type="dxa"/>
              <w:bottom w:w="85" w:type="dxa"/>
              <w:end w:w="90" w:type="dxa"/>
            </w:tcMar>
            <w:vAlign w:val="center"/>
            <w:tcBorders>
              <w:bottom w:val="single" w:sz="5" w:color="C9D9CF"/>
            </w:tcBorders>
            <w:shd w:fill="167A55"/>
          </w:tcPr>
          <w:p>
            <w:pPr>
              <w:jc w:val="center"/>
            </w:pPr>
            <w:r>
              <w:rPr>
                <w:rFonts w:ascii="Arimo" w:hAnsi="Arimo"/>
                <w:b/>
                <w:color w:val="FFFFFF"/>
                <w:sz w:val="22"/>
              </w:rPr>
              <w:t>01</w:t>
            </w:r>
          </w:p>
        </w:tc>
        <w:tc>
          <w:tcPr>
            <w:tcW w:type="dxa" w:w="1656"/>
            <w:tcMar>
              <w:top w:w="85" w:type="dxa"/>
              <w:start w:w="90" w:type="dxa"/>
              <w:bottom w:w="85" w:type="dxa"/>
              <w:end w:w="90" w:type="dxa"/>
            </w:tcMar>
            <w:vAlign w:val="center"/>
            <w:tcBorders>
              <w:bottom w:val="single" w:sz="5" w:color="C9D9CF"/>
            </w:tcBorders>
            <w:shd w:fill="EAF5EF"/>
          </w:tcPr>
          <w:p>
            <w:r>
              <w:rPr>
                <w:rFonts w:ascii="Arimo" w:hAnsi="Arimo"/>
                <w:b/>
                <w:sz w:val="20"/>
              </w:rPr>
              <w:t>Research support</w:t>
            </w:r>
          </w:p>
        </w:tc>
        <w:tc>
          <w:tcPr>
            <w:tcW w:type="dxa" w:w="7560"/>
            <w:tcMar>
              <w:top w:w="85" w:type="dxa"/>
              <w:start w:w="90" w:type="dxa"/>
              <w:bottom w:w="85" w:type="dxa"/>
              <w:end w:w="90" w:type="dxa"/>
            </w:tcMar>
            <w:vAlign w:val="center"/>
            <w:tcBorders>
              <w:bottom w:val="single" w:sz="5" w:color="C9D9CF"/>
            </w:tcBorders>
            <w:shd w:fill="EAF5EF"/>
          </w:tcPr>
          <w:p>
            <w:r>
              <w:rPr>
                <w:rFonts w:ascii="Arimo" w:hAnsi="Arimo"/>
                <w:sz w:val="19"/>
              </w:rPr>
              <w:t>Existing research groups bring strategies and questions for additional scenario testing alongside their own analyses.</w:t>
            </w:r>
          </w:p>
        </w:tc>
      </w:tr>
      <w:tr>
        <w:tc>
          <w:tcPr>
            <w:tcW w:type="dxa" w:w="835"/>
            <w:tcMar>
              <w:top w:w="85" w:type="dxa"/>
              <w:start w:w="90" w:type="dxa"/>
              <w:bottom w:w="85" w:type="dxa"/>
              <w:end w:w="90" w:type="dxa"/>
            </w:tcMar>
            <w:vAlign w:val="center"/>
            <w:tcBorders>
              <w:bottom w:val="single" w:sz="5" w:color="C9D9CF"/>
            </w:tcBorders>
            <w:shd w:fill="167A55"/>
          </w:tcPr>
          <w:p>
            <w:pPr>
              <w:jc w:val="center"/>
            </w:pPr>
            <w:r>
              <w:rPr>
                <w:rFonts w:ascii="Arimo" w:hAnsi="Arimo"/>
                <w:b/>
                <w:color w:val="FFFFFF"/>
                <w:sz w:val="22"/>
              </w:rPr>
              <w:t>02</w:t>
            </w:r>
          </w:p>
        </w:tc>
        <w:tc>
          <w:tcPr>
            <w:tcW w:type="dxa" w:w="1656"/>
            <w:tcMar>
              <w:top w:w="85" w:type="dxa"/>
              <w:start w:w="90" w:type="dxa"/>
              <w:bottom w:w="85" w:type="dxa"/>
              <w:end w:w="90" w:type="dxa"/>
            </w:tcMar>
            <w:vAlign w:val="center"/>
            <w:tcBorders>
              <w:bottom w:val="single" w:sz="5" w:color="C9D9CF"/>
            </w:tcBorders>
            <w:shd w:fill="F4F7F3"/>
          </w:tcPr>
          <w:p>
            <w:r>
              <w:rPr>
                <w:rFonts w:ascii="Arimo" w:hAnsi="Arimo"/>
                <w:b/>
                <w:sz w:val="20"/>
              </w:rPr>
              <w:t>Scenario models</w:t>
            </w:r>
          </w:p>
        </w:tc>
        <w:tc>
          <w:tcPr>
            <w:tcW w:type="dxa" w:w="7560"/>
            <w:tcMar>
              <w:top w:w="85" w:type="dxa"/>
              <w:start w:w="90" w:type="dxa"/>
              <w:bottom w:w="85" w:type="dxa"/>
              <w:end w:w="90" w:type="dxa"/>
            </w:tcMar>
            <w:vAlign w:val="center"/>
            <w:tcBorders>
              <w:bottom w:val="single" w:sz="5" w:color="C9D9CF"/>
            </w:tcBorders>
            <w:shd w:fill="F4F7F3"/>
          </w:tcPr>
          <w:p>
            <w:r>
              <w:rPr>
                <w:rFonts w:ascii="Arimo" w:hAnsi="Arimo"/>
                <w:sz w:val="19"/>
              </w:rPr>
              <w:t>Forward models estimate the response of 36 climate channels to 64 controls, with explicit assumptions and validation limits.</w:t>
            </w:r>
          </w:p>
        </w:tc>
      </w:tr>
      <w:tr>
        <w:tc>
          <w:tcPr>
            <w:tcW w:type="dxa" w:w="835"/>
            <w:tcMar>
              <w:top w:w="85" w:type="dxa"/>
              <w:start w:w="90" w:type="dxa"/>
              <w:bottom w:w="85" w:type="dxa"/>
              <w:end w:w="90" w:type="dxa"/>
            </w:tcMar>
            <w:vAlign w:val="center"/>
            <w:tcBorders>
              <w:bottom w:val="single" w:sz="5" w:color="C9D9CF"/>
            </w:tcBorders>
            <w:shd w:fill="E69B3A"/>
          </w:tcPr>
          <w:p>
            <w:pPr>
              <w:jc w:val="center"/>
            </w:pPr>
            <w:r>
              <w:rPr>
                <w:rFonts w:ascii="Arimo" w:hAnsi="Arimo"/>
                <w:b/>
                <w:color w:val="FFFFFF"/>
                <w:sz w:val="22"/>
              </w:rPr>
              <w:t>03</w:t>
            </w:r>
          </w:p>
        </w:tc>
        <w:tc>
          <w:tcPr>
            <w:tcW w:type="dxa" w:w="1656"/>
            <w:tcMar>
              <w:top w:w="85" w:type="dxa"/>
              <w:start w:w="90" w:type="dxa"/>
              <w:bottom w:w="85" w:type="dxa"/>
              <w:end w:w="90" w:type="dxa"/>
            </w:tcMar>
            <w:vAlign w:val="center"/>
            <w:tcBorders>
              <w:bottom w:val="single" w:sz="5" w:color="C9D9CF"/>
            </w:tcBorders>
            <w:shd w:fill="EAF5EF"/>
          </w:tcPr>
          <w:p>
            <w:r>
              <w:rPr>
                <w:rFonts w:ascii="Arimo" w:hAnsi="Arimo"/>
                <w:b/>
                <w:sz w:val="20"/>
              </w:rPr>
              <w:t>Proving ground</w:t>
            </w:r>
          </w:p>
        </w:tc>
        <w:tc>
          <w:tcPr>
            <w:tcW w:type="dxa" w:w="7560"/>
            <w:tcMar>
              <w:top w:w="85" w:type="dxa"/>
              <w:start w:w="90" w:type="dxa"/>
              <w:bottom w:w="85" w:type="dxa"/>
              <w:end w:w="90" w:type="dxa"/>
            </w:tcMar>
            <w:vAlign w:val="center"/>
            <w:tcBorders>
              <w:bottom w:val="single" w:sz="5" w:color="C9D9CF"/>
            </w:tcBorders>
            <w:shd w:fill="EAF5EF"/>
          </w:tcPr>
          <w:p>
            <w:r>
              <w:rPr>
                <w:rFonts w:ascii="Arimo" w:hAnsi="Arimo"/>
                <w:sz w:val="19"/>
              </w:rPr>
              <w:t>Load a timestamped strategy, replay it offline, score it, preserve the evidence, and keep operators in control.</w:t>
            </w:r>
          </w:p>
        </w:tc>
      </w:tr>
      <w:tr>
        <w:tc>
          <w:tcPr>
            <w:tcW w:type="dxa" w:w="835"/>
            <w:tcMar>
              <w:top w:w="85" w:type="dxa"/>
              <w:start w:w="90" w:type="dxa"/>
              <w:bottom w:w="85" w:type="dxa"/>
              <w:end w:w="90" w:type="dxa"/>
            </w:tcMar>
            <w:vAlign w:val="center"/>
            <w:tcBorders>
              <w:bottom w:val="single" w:sz="5" w:color="C9D9CF"/>
            </w:tcBorders>
            <w:shd w:fill="167A55"/>
          </w:tcPr>
          <w:p>
            <w:pPr>
              <w:jc w:val="center"/>
            </w:pPr>
            <w:r>
              <w:rPr>
                <w:rFonts w:ascii="Arimo" w:hAnsi="Arimo"/>
                <w:b/>
                <w:color w:val="FFFFFF"/>
                <w:sz w:val="22"/>
              </w:rPr>
              <w:t>04</w:t>
            </w:r>
          </w:p>
        </w:tc>
        <w:tc>
          <w:tcPr>
            <w:tcW w:type="dxa" w:w="1656"/>
            <w:tcMar>
              <w:top w:w="85" w:type="dxa"/>
              <w:start w:w="90" w:type="dxa"/>
              <w:bottom w:w="85" w:type="dxa"/>
              <w:end w:w="90" w:type="dxa"/>
            </w:tcMar>
            <w:vAlign w:val="center"/>
            <w:tcBorders>
              <w:bottom w:val="single" w:sz="5" w:color="C9D9CF"/>
            </w:tcBorders>
            <w:shd w:fill="F4F7F3"/>
          </w:tcPr>
          <w:p>
            <w:r>
              <w:rPr>
                <w:rFonts w:ascii="Arimo" w:hAnsi="Arimo"/>
                <w:b/>
                <w:sz w:val="20"/>
              </w:rPr>
              <w:t>Modular science</w:t>
            </w:r>
          </w:p>
        </w:tc>
        <w:tc>
          <w:tcPr>
            <w:tcW w:type="dxa" w:w="7560"/>
            <w:tcMar>
              <w:top w:w="85" w:type="dxa"/>
              <w:start w:w="90" w:type="dxa"/>
              <w:bottom w:w="85" w:type="dxa"/>
              <w:end w:w="90" w:type="dxa"/>
            </w:tcMar>
            <w:vAlign w:val="center"/>
            <w:tcBorders>
              <w:bottom w:val="single" w:sz="5" w:color="C9D9CF"/>
            </w:tcBorders>
            <w:shd w:fill="F4F7F3"/>
          </w:tcPr>
          <w:p>
            <w:r>
              <w:rPr>
                <w:rFonts w:ascii="Arimo" w:hAnsi="Arimo"/>
                <w:sz w:val="19"/>
              </w:rPr>
              <w:t>Benchmark gray-box, temporal ML, physics, and hybrid engines behind one stable contract.</w:t>
            </w:r>
          </w:p>
        </w:tc>
      </w:tr>
      <w:tr>
        <w:tc>
          <w:tcPr>
            <w:tcW w:type="dxa" w:w="835"/>
            <w:tcMar>
              <w:top w:w="85" w:type="dxa"/>
              <w:start w:w="90" w:type="dxa"/>
              <w:bottom w:w="85" w:type="dxa"/>
              <w:end w:w="90" w:type="dxa"/>
            </w:tcMar>
            <w:vAlign w:val="center"/>
            <w:tcBorders>
              <w:bottom w:val="single" w:sz="5" w:color="C9D9CF"/>
            </w:tcBorders>
            <w:shd w:fill="167A55"/>
          </w:tcPr>
          <w:p>
            <w:pPr>
              <w:jc w:val="center"/>
            </w:pPr>
            <w:r>
              <w:rPr>
                <w:rFonts w:ascii="Arimo" w:hAnsi="Arimo"/>
                <w:b/>
                <w:color w:val="FFFFFF"/>
                <w:sz w:val="22"/>
              </w:rPr>
              <w:t>05</w:t>
            </w:r>
          </w:p>
        </w:tc>
        <w:tc>
          <w:tcPr>
            <w:tcW w:type="dxa" w:w="1656"/>
            <w:tcMar>
              <w:top w:w="85" w:type="dxa"/>
              <w:start w:w="90" w:type="dxa"/>
              <w:bottom w:w="85" w:type="dxa"/>
              <w:end w:w="90" w:type="dxa"/>
            </w:tcMar>
            <w:vAlign w:val="center"/>
            <w:tcBorders>
              <w:bottom w:val="single" w:sz="5" w:color="C9D9CF"/>
            </w:tcBorders>
            <w:shd w:fill="EAF5EF"/>
          </w:tcPr>
          <w:p>
            <w:r>
              <w:rPr>
                <w:rFonts w:ascii="Arimo" w:hAnsi="Arimo"/>
                <w:b/>
                <w:sz w:val="20"/>
              </w:rPr>
              <w:t>Student learning</w:t>
            </w:r>
          </w:p>
        </w:tc>
        <w:tc>
          <w:tcPr>
            <w:tcW w:type="dxa" w:w="7560"/>
            <w:tcMar>
              <w:top w:w="85" w:type="dxa"/>
              <w:start w:w="90" w:type="dxa"/>
              <w:bottom w:w="85" w:type="dxa"/>
              <w:end w:w="90" w:type="dxa"/>
            </w:tcMar>
            <w:vAlign w:val="center"/>
            <w:tcBorders>
              <w:bottom w:val="single" w:sz="5" w:color="C9D9CF"/>
            </w:tcBorders>
            <w:shd w:fill="EAF5EF"/>
          </w:tcPr>
          <w:p>
            <w:r>
              <w:rPr>
                <w:rFonts w:ascii="Arimo" w:hAnsi="Arimo"/>
                <w:sz w:val="19"/>
              </w:rPr>
              <w:t>Students test their projects, interpret results with faculty feedback, and refine their designs. Research events can extend this learning.</w:t>
            </w:r>
          </w:p>
        </w:tc>
      </w:tr>
      <w:tr>
        <w:tc>
          <w:tcPr>
            <w:tcW w:type="dxa" w:w="835"/>
            <w:tcMar>
              <w:top w:w="85" w:type="dxa"/>
              <w:start w:w="90" w:type="dxa"/>
              <w:bottom w:w="85" w:type="dxa"/>
              <w:end w:w="90" w:type="dxa"/>
            </w:tcMar>
            <w:vAlign w:val="center"/>
            <w:tcBorders>
              <w:bottom w:val="single" w:sz="5" w:color="C9D9CF"/>
            </w:tcBorders>
            <w:shd w:fill="E69B3A"/>
          </w:tcPr>
          <w:p>
            <w:pPr>
              <w:jc w:val="center"/>
            </w:pPr>
            <w:r>
              <w:rPr>
                <w:rFonts w:ascii="Arimo" w:hAnsi="Arimo"/>
                <w:b/>
                <w:color w:val="FFFFFF"/>
                <w:sz w:val="22"/>
              </w:rPr>
              <w:t>06</w:t>
            </w:r>
          </w:p>
        </w:tc>
        <w:tc>
          <w:tcPr>
            <w:tcW w:type="dxa" w:w="1656"/>
            <w:tcMar>
              <w:top w:w="85" w:type="dxa"/>
              <w:start w:w="90" w:type="dxa"/>
              <w:bottom w:w="85" w:type="dxa"/>
              <w:end w:w="90" w:type="dxa"/>
            </w:tcMar>
            <w:vAlign w:val="center"/>
            <w:tcBorders>
              <w:bottom w:val="single" w:sz="5" w:color="C9D9CF"/>
            </w:tcBorders>
            <w:shd w:fill="F4F7F3"/>
          </w:tcPr>
          <w:p>
            <w:r>
              <w:rPr>
                <w:rFonts w:ascii="Arimo" w:hAnsi="Arimo"/>
                <w:b/>
                <w:sz w:val="20"/>
              </w:rPr>
              <w:t>Decision</w:t>
            </w:r>
          </w:p>
        </w:tc>
        <w:tc>
          <w:tcPr>
            <w:tcW w:type="dxa" w:w="7560"/>
            <w:tcMar>
              <w:top w:w="85" w:type="dxa"/>
              <w:start w:w="90" w:type="dxa"/>
              <w:bottom w:w="85" w:type="dxa"/>
              <w:end w:w="90" w:type="dxa"/>
            </w:tcMar>
            <w:vAlign w:val="center"/>
            <w:tcBorders>
              <w:bottom w:val="single" w:sz="5" w:color="C9D9CF"/>
            </w:tcBorders>
            <w:shd w:fill="F4F7F3"/>
          </w:tcPr>
          <w:p>
            <w:r>
              <w:rPr>
                <w:rFonts w:ascii="Arimo" w:hAnsi="Arimo"/>
                <w:sz w:val="19"/>
              </w:rPr>
              <w:t>Approve a 16-week offline PoC with an operations liaison and synchronized data access.</w:t>
            </w:r>
          </w:p>
        </w:tc>
      </w:tr>
    </w:tbl>
    <w:p/>
    <w:p>
      <w:pPr>
        <w:pageBreakBefore w:val="0"/>
        <w:spacing w:after="60"/>
      </w:pPr>
      <w:r>
        <w:rPr>
          <w:rFonts w:ascii="Arimo" w:hAnsi="Arimo"/>
          <w:b/>
          <w:color w:val="E69B3A"/>
          <w:sz w:val="18"/>
        </w:rPr>
        <w:t>THREE PHRASES TO PRESERVE VERBATIM</w:t>
      </w:r>
    </w:p>
    <w:p>
      <w:pPr>
        <w:pStyle w:val="ListBullet"/>
        <w:spacing w:after="60"/>
      </w:pPr>
      <w:r>
        <w:t>This scenario is illustrative and not yet model-generated.</w:t>
      </w:r>
    </w:p>
    <w:p>
      <w:pPr>
        <w:pStyle w:val="ListBullet"/>
        <w:spacing w:after="60"/>
      </w:pPr>
      <w:r>
        <w:t>A prediction supports a decision. It does not grant operational authority.</w:t>
      </w:r>
    </w:p>
    <w:p>
      <w:pPr>
        <w:pStyle w:val="ListBullet"/>
        <w:spacing w:after="60"/>
      </w:pPr>
      <w:r>
        <w:t>No percentage or dollar savings figure should be claimed before calibrated evidence exists.</w:t>
      </w:r>
    </w:p>
    <w:p>
      <w:pPr>
        <w:pageBreakBefore/>
        <w:spacing w:after="60"/>
      </w:pPr>
      <w:r>
        <w:rPr>
          <w:rFonts w:ascii="Arimo" w:hAnsi="Arimo"/>
          <w:b/>
          <w:color w:val="167A55"/>
          <w:sz w:val="18"/>
        </w:rPr>
        <w:t>MAIN TALK  •  ACT 1 OF 6</w:t>
      </w:r>
    </w:p>
    <w:p>
      <w:pPr>
        <w:pStyle w:val="Heading1"/>
      </w:pPr>
      <w:r>
        <w:t>Act I — Supporting climate research</w:t>
      </w:r>
    </w:p>
    <w:p>
      <w:pPr>
        <w:pStyle w:val="Heading2"/>
        <w:spacing w:before="80"/>
      </w:pPr>
      <w:r>
        <w:t>Slide 1 — Virtual Proving Ground for RainForest Climate Strategies</w:t>
      </w:r>
    </w:p>
    <w:p>
      <w:pPr>
        <w:spacing w:after="60"/>
      </w:pPr>
      <w:r>
        <w:rPr>
          <w:rFonts w:ascii="Arimo" w:hAnsi="Arimo"/>
          <w:b/>
          <w:color w:val="167A55"/>
          <w:sz w:val="16"/>
        </w:rPr>
        <w:t>TIME  0:55   •   STAGE CUE  Acknowledge existing research. Introduce student learning, then the PoC request.</w:t>
      </w:r>
    </w:p>
    <w:p>
      <w:pPr>
        <w:keepNext/>
        <w:spacing w:after="60"/>
      </w:pPr>
      <w:r>
        <w:rPr>
          <w:rFonts w:ascii="Arimo" w:hAnsi="Arimo"/>
          <w:b/>
          <w:color w:val="5E7068"/>
          <w:sz w:val="17"/>
        </w:rPr>
        <w:t xml:space="preserve">On-screen anchor: </w:t>
      </w:r>
      <w:r>
        <w:rPr>
          <w:rFonts w:ascii="Arimo" w:hAnsi="Arimo"/>
          <w:color w:val="5E7068"/>
          <w:sz w:val="17"/>
        </w:rPr>
        <w:t>64 scheduled controls · 36 climate channels · Supporting climate research and student learning</w:t>
      </w:r>
    </w:p>
    <w:p>
      <w:pPr>
        <w:spacing w:after="80" w:line="250" w:lineRule="auto"/>
      </w:pPr>
      <w:r>
        <w:rPr>
          <w:rFonts w:ascii="Arimo" w:hAnsi="Arimo"/>
          <w:sz w:val="20"/>
        </w:rPr>
        <w:t>Research groups are already developing climate-control strategies for Biosphere 2. I propose a shared simulation environment to support their work through additional scenario testing and reproducible evaluation. The same environment would help students test their projects, interpret the results, and refine their control designs. This Virtual Proving Ground would accept a scheduled strategy with 64 control values and simulate its response across 36 RainForest climate channels. Teams could explore climate and energy outcomes, with uncertainty and operating limits visible in each result. Strategy authors would retain ownership of their methods, and Biosphere 2 operations would retain authority over field studies. I am asking for a scoped, offline, sixteen-week Proof of Concept.</w:t>
      </w:r>
    </w:p>
    <w:p>
      <w:pPr>
        <w:pStyle w:val="Heading2"/>
        <w:spacing w:before="80"/>
      </w:pPr>
      <w:r>
        <w:t>Slide 2 — Shared evaluation of climate strategies</w:t>
      </w:r>
    </w:p>
    <w:p>
      <w:pPr>
        <w:spacing w:after="60"/>
      </w:pPr>
      <w:r>
        <w:rPr>
          <w:rFonts w:ascii="Arimo" w:hAnsi="Arimo"/>
          <w:b/>
          <w:color w:val="167A55"/>
          <w:sz w:val="16"/>
        </w:rPr>
        <w:t>TIME  1:15   •   STAGE CUE  Trace the workflow. Describe additional testing alongside each team's evidence.</w:t>
      </w:r>
    </w:p>
    <w:p>
      <w:pPr>
        <w:keepNext/>
        <w:spacing w:after="60"/>
      </w:pPr>
      <w:r>
        <w:rPr>
          <w:rFonts w:ascii="Arimo" w:hAnsi="Arimo"/>
          <w:b/>
          <w:color w:val="5E7068"/>
          <w:sz w:val="17"/>
        </w:rPr>
        <w:t xml:space="preserve">On-screen anchor: </w:t>
      </w:r>
      <w:r>
        <w:rPr>
          <w:rFonts w:ascii="Arimo" w:hAnsi="Arimo"/>
          <w:color w:val="5E7068"/>
          <w:sz w:val="17"/>
        </w:rPr>
        <w:t>Strategies from research groups · Shared simulation scenarios · Results for team discussion</w:t>
      </w:r>
    </w:p>
    <w:p>
      <w:pPr>
        <w:spacing w:after="80" w:line="250" w:lineRule="auto"/>
      </w:pPr>
      <w:r>
        <w:rPr>
          <w:rFonts w:ascii="Arimo" w:hAnsi="Arimo"/>
          <w:sz w:val="20"/>
        </w:rPr>
        <w:t>The proposed platform would build on the climate-control research already underway. Research groups would bring their strategies and research questions to a shared set of scenarios. Together with domain experts, they could choose initial conditions, weather cases, and performance measures relevant to each study. The simulator would return trajectories and uncertainty estimates for discussion by the teams. Authors could use those results alongside their own analyses, models, and experimental evidence. A common record of inputs and assumptions would make additional comparisons easier to reproduce. Students could use the same workflow to understand how their designs behave under different conditions. The contribution is an additional research and teaching tool. Its results would describe behavior within the tested model and scenarios, with the model's own validation limits stated explicitly.</w:t>
      </w:r>
    </w:p>
    <w:p>
      <w:pPr>
        <w:pStyle w:val="Heading2"/>
        <w:spacing w:before="80"/>
      </w:pPr>
      <w:r>
        <w:t>Slide 3 — Forward models for scenario testing</w:t>
      </w:r>
    </w:p>
    <w:p>
      <w:pPr>
        <w:spacing w:after="60"/>
      </w:pPr>
      <w:r>
        <w:rPr>
          <w:rFonts w:ascii="Arimo" w:hAnsi="Arimo"/>
          <w:b/>
          <w:color w:val="167A55"/>
          <w:sz w:val="16"/>
        </w:rPr>
        <w:t>TIME  1:20   •   STAGE CUE  Read the symbols slowly: x-sub-k, u-sub-k, w-sub-k, F-theta. Do not derive the equation.</w:t>
      </w:r>
    </w:p>
    <w:p>
      <w:pPr>
        <w:keepNext/>
        <w:spacing w:after="60"/>
      </w:pPr>
      <w:r>
        <w:rPr>
          <w:rFonts w:ascii="Arimo" w:hAnsi="Arimo"/>
          <w:b/>
          <w:color w:val="5E7068"/>
          <w:sz w:val="17"/>
        </w:rPr>
        <w:t xml:space="preserve">On-screen anchor: </w:t>
      </w:r>
      <w:r>
        <w:rPr>
          <w:rFonts w:ascii="Arimo" w:hAnsi="Arimo"/>
          <w:color w:val="5E7068"/>
          <w:sz w:val="17"/>
        </w:rPr>
        <w:t>State: 36 temperature and humidity channels · Action: 64 absolute control values · Context: weather, time, prior state, operating mode</w:t>
      </w:r>
    </w:p>
    <w:p>
      <w:pPr>
        <w:spacing w:after="80" w:line="250" w:lineRule="auto"/>
      </w:pPr>
      <w:r>
        <w:rPr>
          <w:rFonts w:ascii="Arimo" w:hAnsi="Arimo"/>
          <w:sz w:val="20"/>
        </w:rPr>
        <w:t>This equation describes the forward-simulation step proposed for our platform. Let x sub k denote the measured climate state and u sub k denote the 64-component control vector. Weather and other external context enter through w sub k. The engine estimates the next state through a forward map, x sub k plus one equals F theta of x sub k, u sub k, and w sub k. The resulting trajectories support scenario comparisons using agreed climate, energy, and equipment measures. F theta could represent a gray-box, temporal machine-learning, physics, or hybrid model. The interface could also accommodate a model contributed by a research group. Each engine would document its assumptions and validation evidence. Comparable outputs would include trajectories, uncertainty, constraint flags, and diagnostics for the same inputs.</w:t>
      </w:r>
    </w:p>
    <w:p>
      <w:pPr>
        <w:pStyle w:val="Heading2"/>
        <w:spacing w:before="80"/>
      </w:pPr>
      <w:r>
        <w:t>Slide 4 — Support for planning field studies</w:t>
      </w:r>
    </w:p>
    <w:p>
      <w:pPr>
        <w:spacing w:after="60"/>
      </w:pPr>
      <w:r>
        <w:rPr>
          <w:rFonts w:ascii="Arimo" w:hAnsi="Arimo"/>
          <w:b/>
          <w:color w:val="167A55"/>
          <w:sz w:val="16"/>
        </w:rPr>
        <w:t>TIME  1:05   •   STAGE CUE  Explain the facility context and joint planning by researchers and operators.</w:t>
      </w:r>
    </w:p>
    <w:p>
      <w:pPr>
        <w:keepNext/>
        <w:spacing w:after="60"/>
      </w:pPr>
      <w:r>
        <w:rPr>
          <w:rFonts w:ascii="Arimo" w:hAnsi="Arimo"/>
          <w:b/>
          <w:color w:val="5E7068"/>
          <w:sz w:val="17"/>
        </w:rPr>
        <w:t xml:space="preserve">On-screen anchor: </w:t>
      </w:r>
      <w:r>
        <w:rPr>
          <w:rFonts w:ascii="Arimo" w:hAnsi="Arimo"/>
          <w:color w:val="5E7068"/>
          <w:sz w:val="17"/>
        </w:rPr>
        <w:t>Climate responses include delays and equipment interactions · Researchers and operators define scenarios together · Biosphere 2 depends on continuous environmental support</w:t>
      </w:r>
    </w:p>
    <w:p>
      <w:pPr>
        <w:spacing w:after="80" w:line="250" w:lineRule="auto"/>
      </w:pPr>
      <w:r>
        <w:rPr>
          <w:rFonts w:ascii="Arimo" w:hAnsi="Arimo"/>
          <w:sz w:val="20"/>
        </w:rPr>
        <w:t>Offline scenario testing could help researchers and operators prepare field studies together. Climate responses involve delays and interactions among air handlers, fans, valves, and outdoor conditions. Simulation would offer another way to explore these effects when discussing operating limits and monitoring plans. Biosphere 2 describes a facility supported by twenty-six air handlers and notes that loss of power on a sunny day could irreparably damage biomes within about twenty minutes. These figures describe the facility's environmental support. They do not measure the risk of a particular strategy or assess any research group's methods. Our proposed testbed would remain offline. Researchers and operators could review its predicted trajectories and uncertainty alongside other evidence when planning separately authorized field studies.</w:t>
      </w:r>
    </w:p>
    <w:p>
      <w:pPr>
        <w:spacing w:before="40" w:after="160"/>
      </w:pPr>
      <w:r>
        <w:rPr>
          <w:rFonts w:ascii="Arimo" w:hAnsi="Arimo"/>
          <w:b/>
          <w:color w:val="5E7068"/>
          <w:sz w:val="17"/>
        </w:rPr>
        <w:t xml:space="preserve">Sources: </w:t>
      </w:r>
      <w:r>
        <w:rPr>
          <w:rFonts w:ascii="Arimo" w:hAnsi="Arimo"/>
          <w:color w:val="5E7068"/>
          <w:sz w:val="17"/>
        </w:rPr>
        <w:t>https://biosphere2.org/about/about-biosphere-2</w:t>
      </w:r>
    </w:p>
    <w:p>
      <w:pPr>
        <w:pageBreakBefore/>
        <w:spacing w:after="60"/>
      </w:pPr>
      <w:r>
        <w:rPr>
          <w:rFonts w:ascii="Arimo" w:hAnsi="Arimo"/>
          <w:b/>
          <w:color w:val="167A55"/>
          <w:sz w:val="18"/>
        </w:rPr>
        <w:t>MAIN TALK  •  ACT 2 OF 6</w:t>
      </w:r>
    </w:p>
    <w:p>
      <w:pPr>
        <w:pStyle w:val="Heading1"/>
      </w:pPr>
      <w:r>
        <w:t>Act II — What the proving ground does</w:t>
      </w:r>
    </w:p>
    <w:p>
      <w:pPr>
        <w:pStyle w:val="Heading2"/>
      </w:pPr>
      <w:r>
        <w:t>Slide 5 — Virtual Proving Ground architecture</w:t>
      </w:r>
    </w:p>
    <w:p>
      <w:pPr>
        <w:spacing w:after="80"/>
      </w:pPr>
      <w:r>
        <w:rPr>
          <w:rFonts w:ascii="Arimo" w:hAnsi="Arimo"/>
          <w:b/>
          <w:color w:val="167A55"/>
          <w:sz w:val="16"/>
        </w:rPr>
        <w:t>TIME  1:15   •   STAGE CUE  Trace the boxes left to right. Emphasize that strategy creation remains outside the platform.</w:t>
      </w:r>
    </w:p>
    <w:p>
      <w:pPr>
        <w:keepNext/>
        <w:spacing w:after="60"/>
      </w:pPr>
      <w:r>
        <w:rPr>
          <w:rFonts w:ascii="Arimo" w:hAnsi="Arimo"/>
          <w:b/>
          <w:color w:val="5E7068"/>
          <w:sz w:val="17"/>
        </w:rPr>
        <w:t xml:space="preserve">On-screen anchor: </w:t>
      </w:r>
      <w:r>
        <w:rPr>
          <w:rFonts w:ascii="Arimo" w:hAnsi="Arimo"/>
          <w:color w:val="5E7068"/>
          <w:sz w:val="17"/>
        </w:rPr>
        <w:t>Strategy file · Validation and scenario setup · Pluggable forward model</w:t>
      </w:r>
    </w:p>
    <w:p>
      <w:pPr>
        <w:spacing w:after="80" w:line="250" w:lineRule="auto"/>
      </w:pPr>
      <w:r>
        <w:rPr>
          <w:rFonts w:ascii="Arimo" w:hAnsi="Arimo"/>
          <w:sz w:val="20"/>
        </w:rPr>
        <w:t>The architecture supports a shared workflow with clear responsibilities. A student, researcher, or engineering team creates a strategy outside the platform. The strategy enters as a timestamped schedule of complete 64-value control vectors. The platform checks units, bounds, timestamps, and missing values. It then combines the schedule with an initial climate state and a weather or operating scenario. A selected simulation engine advances the 36-channel climate state through time. The evaluation layer calculates climate error, energy indicators, stability, constraint violations, and uncertainty. The interface lets authors and operators inspect the results together. Strategy authors retain control of their methods. The platform does not generate, optimize, or silently rewrite submissions. A versioned run record supports reproducible research, while Biosphere 2 operations retains authority over facility use.</w:t>
      </w:r>
    </w:p>
    <w:p>
      <w:pPr>
        <w:pStyle w:val="Heading2"/>
      </w:pPr>
      <w:r>
        <w:t>Slide 6 — Climate strategy contract</w:t>
      </w:r>
    </w:p>
    <w:p>
      <w:pPr>
        <w:spacing w:after="80"/>
      </w:pPr>
      <w:r>
        <w:rPr>
          <w:rFonts w:ascii="Arimo" w:hAnsi="Arimo"/>
          <w:b/>
          <w:color w:val="167A55"/>
          <w:sz w:val="16"/>
        </w:rPr>
        <w:t>TIME  1:05   •   STAGE CUE  Point to the timestamps and complete vectors. Stress deterministic replay.</w:t>
      </w:r>
    </w:p>
    <w:p>
      <w:pPr>
        <w:keepNext/>
        <w:spacing w:after="60"/>
      </w:pPr>
      <w:r>
        <w:rPr>
          <w:rFonts w:ascii="Arimo" w:hAnsi="Arimo"/>
          <w:b/>
          <w:color w:val="5E7068"/>
          <w:sz w:val="17"/>
        </w:rPr>
        <w:t xml:space="preserve">On-screen anchor: </w:t>
      </w:r>
      <w:r>
        <w:rPr>
          <w:rFonts w:ascii="Arimo" w:hAnsi="Arimo"/>
          <w:color w:val="5E7068"/>
          <w:sz w:val="17"/>
        </w:rPr>
        <w:t>u(1), u(2), ... , u(N) · Each u(k) contains 64 absolute values · A value remains active until the next timestamp</w:t>
      </w:r>
    </w:p>
    <w:p>
      <w:pPr>
        <w:spacing w:after="80" w:line="250" w:lineRule="auto"/>
      </w:pPr>
      <w:r>
        <w:rPr>
          <w:rFonts w:ascii="Arimo" w:hAnsi="Arimo"/>
          <w:sz w:val="20"/>
        </w:rPr>
        <w:t>The strategy format is intentionally plain. At each timestamp, the file contains one complete vector u of 64 absolute values. These values represent fifteen temperature setpoints, seven supply-fan commands, and forty-two valve, damper, or related operating commands in the current inventory. A value remains active until the next timestamp. Using complete vectors avoids ambiguity about inherited settings and makes every replay deterministic. The first version can accept JSON and CSV. Before simulation, the platform checks the schema, time order, units, admissible ranges, and missing controls. This contract also supports research. A PID controller, a model predictive controller, and a reinforcement-learning agent can all produce the same external file format. We can therefore compare algorithms without coupling the platform to one method.</w:t>
      </w:r>
    </w:p>
    <w:p>
      <w:pPr>
        <w:pageBreakBefore/>
        <w:spacing w:after="60"/>
      </w:pPr>
      <w:r>
        <w:rPr>
          <w:rFonts w:ascii="Arimo" w:hAnsi="Arimo"/>
          <w:b/>
          <w:color w:val="167A55"/>
          <w:sz w:val="18"/>
        </w:rPr>
        <w:t>MAIN TALK  •  ACT 3 OF 6</w:t>
      </w:r>
    </w:p>
    <w:p>
      <w:pPr>
        <w:pStyle w:val="Heading1"/>
      </w:pPr>
      <w:r>
        <w:t>Act III — What the reviewer sees</w:t>
      </w:r>
    </w:p>
    <w:p>
      <w:pPr>
        <w:pStyle w:val="Heading2"/>
      </w:pPr>
      <w:r>
        <w:t>Slide 7 — Illustrative interface demonstration</w:t>
      </w:r>
    </w:p>
    <w:p>
      <w:pPr>
        <w:spacing w:after="80"/>
      </w:pPr>
      <w:r>
        <w:rPr>
          <w:rFonts w:ascii="Arimo" w:hAnsi="Arimo"/>
          <w:b/>
          <w:color w:val="E69B3A"/>
          <w:sz w:val="16"/>
        </w:rPr>
        <w:t>TIME  1:40   •   STAGE CUE  Start the 35-second video. Let it establish the interface, then explicitly repeat: illustrative, not model-generated.</w:t>
      </w:r>
    </w:p>
    <w:p>
      <w:pPr>
        <w:keepNext/>
        <w:spacing w:after="60"/>
      </w:pPr>
      <w:r>
        <w:rPr>
          <w:rFonts w:ascii="Arimo" w:hAnsi="Arimo"/>
          <w:b/>
          <w:color w:val="5E7068"/>
          <w:sz w:val="17"/>
        </w:rPr>
        <w:t xml:space="preserve">On-screen anchor: </w:t>
      </w:r>
      <w:r>
        <w:rPr>
          <w:rFonts w:ascii="Arimo" w:hAnsi="Arimo"/>
          <w:color w:val="5E7068"/>
          <w:sz w:val="17"/>
        </w:rPr>
        <w:t>Load a 64-control schedule · Replay five timestamps · Inspect the RainForest by sensor and metric</w:t>
      </w:r>
    </w:p>
    <w:p>
      <w:pPr>
        <w:spacing w:after="80" w:line="250" w:lineRule="auto"/>
      </w:pPr>
      <w:r>
        <w:rPr>
          <w:rFonts w:ascii="Arimo" w:hAnsi="Arimo"/>
          <w:sz w:val="20"/>
        </w:rPr>
        <w:t>This short demonstration shows how a user would work with the proposed system. On the left, the platform loads a prepared strategy containing five snapshots, each with 64 absolute control values. The center shows a deliberately simplified RainForest model. We do not need survey-grade geometry for this decision. Four towers and eighteen physical measurement points are enough to explain the spatial structure. Each point carries temperature and relative humidity, giving 36 climate channels. The timeline replays the scheduled controls. The user can switch between temperature and humidity, select a point, and inspect its trajectory. At the midpoint, the interface raises an illustrative constraint flag so the reviewer can see where an unsafe or undesirable trend would appear. The label at the bottom is essential: this scenario is not yet model-generated. The interface proves the workflow and communication design. Building and validating the causal simulation engine is the work of the proposed Proof of Concept.</w:t>
      </w:r>
    </w:p>
    <w:p>
      <w:pPr>
        <w:spacing w:before="40" w:after="160"/>
      </w:pPr>
      <w:r>
        <w:rPr>
          <w:rFonts w:ascii="Arimo" w:hAnsi="Arimo"/>
          <w:b/>
          <w:color w:val="5E7068"/>
          <w:sz w:val="17"/>
        </w:rPr>
        <w:t xml:space="preserve">Sources: </w:t>
      </w:r>
      <w:r>
        <w:rPr>
          <w:rFonts w:ascii="Arimo" w:hAnsi="Arimo"/>
          <w:color w:val="5E7068"/>
          <w:sz w:val="17"/>
        </w:rPr>
        <w:t>https://rainforest-virtual-proving-ground.bolt.linkpc.net/</w:t>
      </w:r>
    </w:p>
    <w:p>
      <w:pPr>
        <w:pStyle w:val="Heading2"/>
      </w:pPr>
      <w:r>
        <w:t>Slide 8 — Reading the simulation output</w:t>
      </w:r>
    </w:p>
    <w:p>
      <w:pPr>
        <w:spacing w:after="80"/>
      </w:pPr>
      <w:r>
        <w:rPr>
          <w:rFonts w:ascii="Arimo" w:hAnsi="Arimo"/>
          <w:b/>
          <w:color w:val="167A55"/>
          <w:sz w:val="16"/>
        </w:rPr>
        <w:t>TIME  1:15   •   STAGE CUE  Use the right-hand list. Point to the traceability sentence last.</w:t>
      </w:r>
    </w:p>
    <w:p>
      <w:pPr>
        <w:keepNext/>
        <w:spacing w:after="60"/>
      </w:pPr>
      <w:r>
        <w:rPr>
          <w:rFonts w:ascii="Arimo" w:hAnsi="Arimo"/>
          <w:b/>
          <w:color w:val="5E7068"/>
          <w:sz w:val="17"/>
        </w:rPr>
        <w:t xml:space="preserve">On-screen anchor: </w:t>
      </w:r>
      <w:r>
        <w:rPr>
          <w:rFonts w:ascii="Arimo" w:hAnsi="Arimo"/>
          <w:color w:val="5E7068"/>
          <w:sz w:val="17"/>
        </w:rPr>
        <w:t>Spatial response across four towers · Time series for a selected measurement point · Comfort and safety envelopes</w:t>
      </w:r>
    </w:p>
    <w:p>
      <w:pPr>
        <w:spacing w:after="80" w:line="250" w:lineRule="auto"/>
      </w:pPr>
      <w:r>
        <w:rPr>
          <w:rFonts w:ascii="Arimo" w:hAnsi="Arimo"/>
          <w:sz w:val="20"/>
        </w:rPr>
        <w:t>The interface would help teams interpret each simulation result. The first output is the full 36-channel trajectory so we can see spatial differences among the four towers and vertical sensor levels. The second is a time series for any selected point, together with target bands and hard limits. The third is a scorecard for energy, climate performance, and stability. The fourth is uncertainty. If the engine has little support for a proposed control combination or weather condition, the interface must say so. Every warning needs a reason that a reviewer can trace to a channel, timestamp, threshold, and input schedule. These details would help researchers discuss the modeled behavior and help students understand their project results. A flag identifies a condition within that simulation, subject to the engine's assumptions and limitations.</w:t>
      </w:r>
    </w:p>
    <w:p>
      <w:pPr>
        <w:pStyle w:val="Heading2"/>
      </w:pPr>
      <w:r>
        <w:t>Slide 9 — Human approval and operational boundaries</w:t>
      </w:r>
    </w:p>
    <w:p>
      <w:pPr>
        <w:spacing w:after="80"/>
      </w:pPr>
      <w:r>
        <w:rPr>
          <w:rFonts w:ascii="Arimo" w:hAnsi="Arimo"/>
          <w:b/>
          <w:color w:val="167A55"/>
          <w:sz w:val="16"/>
        </w:rPr>
        <w:t>TIME  1:00   •   STAGE CUE  Point to the red barrier and say no write path clearly.</w:t>
      </w:r>
    </w:p>
    <w:p>
      <w:pPr>
        <w:keepNext/>
        <w:spacing w:after="60"/>
      </w:pPr>
      <w:r>
        <w:rPr>
          <w:rFonts w:ascii="Arimo" w:hAnsi="Arimo"/>
          <w:b/>
          <w:color w:val="5E7068"/>
          <w:sz w:val="17"/>
        </w:rPr>
        <w:t xml:space="preserve">On-screen anchor: </w:t>
      </w:r>
      <w:r>
        <w:rPr>
          <w:rFonts w:ascii="Arimo" w:hAnsi="Arimo"/>
          <w:color w:val="5E7068"/>
          <w:sz w:val="17"/>
        </w:rPr>
        <w:t>No direct connection to facility equipment · Hard bounds checked before simulation · Operator review before any field trial</w:t>
      </w:r>
    </w:p>
    <w:p>
      <w:pPr>
        <w:spacing w:after="80" w:line="250" w:lineRule="auto"/>
      </w:pPr>
      <w:r>
        <w:rPr>
          <w:rFonts w:ascii="Arimo" w:hAnsi="Arimo"/>
          <w:sz w:val="20"/>
        </w:rPr>
        <w:t>The Proof of Concept would remain offline. It would not write commands to Biosphere 2 equipment. Every strategy would pass basic schema and bound checks before simulation. The system would preserve the submitted file, model version, scenario, software version, and result so another reviewer can reproduce the run. Any future field experiment would require a separate operating procedure, a named operator, approved limits, rollback conditions, and explicit authorization. This boundary matters because model confidence does not equal operational authority. A good prediction supports a decision. It does not replace the people responsible for the facility. The first milestone is therefore evidence for review, not autonomous control.</w:t>
      </w:r>
    </w:p>
    <w:p>
      <w:pPr>
        <w:pageBreakBefore/>
        <w:spacing w:after="60"/>
      </w:pPr>
      <w:r>
        <w:rPr>
          <w:rFonts w:ascii="Arimo" w:hAnsi="Arimo"/>
          <w:b/>
          <w:color w:val="167A55"/>
          <w:sz w:val="18"/>
        </w:rPr>
        <w:t>MAIN TALK  •  ACT 4 OF 6</w:t>
      </w:r>
    </w:p>
    <w:p>
      <w:pPr>
        <w:pStyle w:val="Heading1"/>
      </w:pPr>
      <w:r>
        <w:t>Act IV — How the science stays modular</w:t>
      </w:r>
    </w:p>
    <w:p>
      <w:pPr>
        <w:pStyle w:val="Heading2"/>
      </w:pPr>
      <w:r>
        <w:t>Slide 10 — Pluggable simulation engine</w:t>
      </w:r>
    </w:p>
    <w:p>
      <w:pPr>
        <w:spacing w:after="80"/>
      </w:pPr>
      <w:r>
        <w:rPr>
          <w:rFonts w:ascii="Arimo" w:hAnsi="Arimo"/>
          <w:b/>
          <w:color w:val="167A55"/>
          <w:sz w:val="16"/>
        </w:rPr>
        <w:t>TIME  1:15   •   STAGE CUE  Point to input, adapter, output, then the four candidate engine families.</w:t>
      </w:r>
    </w:p>
    <w:p>
      <w:pPr>
        <w:keepNext/>
        <w:spacing w:after="60"/>
      </w:pPr>
      <w:r>
        <w:rPr>
          <w:rFonts w:ascii="Arimo" w:hAnsi="Arimo"/>
          <w:b/>
          <w:color w:val="5E7068"/>
          <w:sz w:val="17"/>
        </w:rPr>
        <w:t xml:space="preserve">On-screen anchor: </w:t>
      </w:r>
      <w:r>
        <w:rPr>
          <w:rFonts w:ascii="Arimo" w:hAnsi="Arimo"/>
          <w:color w:val="5E7068"/>
          <w:sz w:val="17"/>
        </w:rPr>
        <w:t>Inputs: initial state, 64-control schedule, weather and context, horizon · Outputs: 36-channel trajectories, uncertainty, constraints, energy indicators, diagnostics · Model version and assumptions travel with every result</w:t>
      </w:r>
    </w:p>
    <w:p>
      <w:pPr>
        <w:spacing w:after="80" w:line="250" w:lineRule="auto"/>
      </w:pPr>
      <w:r>
        <w:rPr>
          <w:rFonts w:ascii="Arimo" w:hAnsi="Arimo"/>
          <w:sz w:val="20"/>
        </w:rPr>
        <w:t>A stable simulation contract would allow research groups to contribute different engines through a common interface. The input contains the initial 36-channel state, the 64-control schedule, weather and other context, plus the simulation horizon. The output contains predicted trajectories, uncertainty, constraint events, energy indicators, and diagnostic information. One engine may be an LSTM trained on synchronized historical data. Another may be a state-space model that exposes physical coefficients. An adapter may wrap EnergyPlus, Modelica, or a hybrid model. Teams could run the same scenario and strategy through several engines and discuss differences in the results. Each model would retain its documented assumptions, version, and attribution. Our PoC would evaluate candidate engines for its intended use while keeping the strategy interface and teaching workflow stable.</w:t>
      </w:r>
    </w:p>
    <w:p>
      <w:pPr>
        <w:spacing w:before="40" w:after="160"/>
      </w:pPr>
      <w:r>
        <w:rPr>
          <w:rFonts w:ascii="Arimo" w:hAnsi="Arimo"/>
          <w:b/>
          <w:color w:val="5E7068"/>
          <w:sz w:val="17"/>
        </w:rPr>
        <w:t xml:space="preserve">Sources: </w:t>
      </w:r>
      <w:r>
        <w:rPr>
          <w:rFonts w:ascii="Arimo" w:hAnsi="Arimo"/>
          <w:color w:val="5E7068"/>
          <w:sz w:val="17"/>
        </w:rPr>
        <w:t>https://fmi-standard.org/docs/main/</w:t>
      </w:r>
    </w:p>
    <w:p>
      <w:pPr>
        <w:pStyle w:val="Heading2"/>
      </w:pPr>
      <w:r>
        <w:t>Slide 11 — Candidate forward-model families</w:t>
      </w:r>
    </w:p>
    <w:p>
      <w:pPr>
        <w:spacing w:after="80"/>
      </w:pPr>
      <w:r>
        <w:rPr>
          <w:rFonts w:ascii="Arimo" w:hAnsi="Arimo"/>
          <w:b/>
          <w:color w:val="167A55"/>
          <w:sz w:val="16"/>
        </w:rPr>
        <w:t>TIME  1:20   •   STAGE CUE  Move across the four columns. End with the simplest engine that passes the gates.</w:t>
      </w:r>
    </w:p>
    <w:p>
      <w:pPr>
        <w:keepNext/>
        <w:spacing w:after="60"/>
      </w:pPr>
      <w:r>
        <w:rPr>
          <w:rFonts w:ascii="Arimo" w:hAnsi="Arimo"/>
          <w:b/>
          <w:color w:val="5E7068"/>
          <w:sz w:val="17"/>
        </w:rPr>
        <w:t xml:space="preserve">On-screen anchor: </w:t>
      </w:r>
      <w:r>
        <w:rPr>
          <w:rFonts w:ascii="Arimo" w:hAnsi="Arimo"/>
          <w:color w:val="5E7068"/>
          <w:sz w:val="17"/>
        </w:rPr>
        <w:t>Gray-box state-space: interpretable dynamics and modest data needs · Temporal ML: flexible nonlinear response and delay modeling · Physics-based: explicit envelopes, HVAC components, and energy accounting</w:t>
      </w:r>
    </w:p>
    <w:p>
      <w:pPr>
        <w:spacing w:after="80" w:line="250" w:lineRule="auto"/>
      </w:pPr>
      <w:r>
        <w:rPr>
          <w:rFonts w:ascii="Arimo" w:hAnsi="Arimo"/>
          <w:sz w:val="20"/>
        </w:rPr>
        <w:t>Our initial benchmark could include four complementary model families. A gray-box state-space model offers interpretable time constants and can work with less data, but it may miss complex nonlinear interactions. A temporal machine-learning model such as an LSTM can learn delays and nonlinear behavior from historical sequences, but it needs synchronized controls, sensors, and context, and it requires careful out-of-distribution checks. A physics-based model in EnergyPlus or Modelica can represent envelopes and HVAC components explicitly, but calibration for a unique biome can be labor intensive. A hybrid model can impose physical structure and learn the residual behavior that the simplified physics misses. The Proof of Concept should not promise that one family will win. It should define test windows, error metrics, uncertainty checks, and computational requirements, then select the simplest engine that meets the operational use case.</w:t>
      </w:r>
    </w:p>
    <w:p>
      <w:pPr>
        <w:spacing w:before="40" w:after="160"/>
      </w:pPr>
      <w:r>
        <w:rPr>
          <w:rFonts w:ascii="Arimo" w:hAnsi="Arimo"/>
          <w:b/>
          <w:color w:val="5E7068"/>
          <w:sz w:val="17"/>
        </w:rPr>
        <w:t xml:space="preserve">Sources: </w:t>
      </w:r>
      <w:r>
        <w:rPr>
          <w:rFonts w:ascii="Arimo" w:hAnsi="Arimo"/>
          <w:color w:val="5E7068"/>
          <w:sz w:val="17"/>
        </w:rPr>
        <w:t>https://energyplus.net/  |  https://simulationresearch.lbl.gov/modelica/</w:t>
      </w:r>
    </w:p>
    <w:p>
      <w:pPr>
        <w:pStyle w:val="Heading2"/>
      </w:pPr>
      <w:r>
        <w:t>Slide 12 — Established simulation foundations</w:t>
      </w:r>
    </w:p>
    <w:p>
      <w:pPr>
        <w:spacing w:after="80"/>
      </w:pPr>
      <w:r>
        <w:rPr>
          <w:rFonts w:ascii="Arimo" w:hAnsi="Arimo"/>
          <w:b/>
          <w:color w:val="167A55"/>
          <w:sz w:val="16"/>
        </w:rPr>
        <w:t>TIME  1:20   •   STAGE CUE  Name these as engineering precedents, not validation of the present app.</w:t>
      </w:r>
    </w:p>
    <w:p>
      <w:pPr>
        <w:keepNext/>
        <w:spacing w:after="60"/>
      </w:pPr>
      <w:r>
        <w:rPr>
          <w:rFonts w:ascii="Arimo" w:hAnsi="Arimo"/>
          <w:b/>
          <w:color w:val="5E7068"/>
          <w:sz w:val="17"/>
        </w:rPr>
        <w:t xml:space="preserve">On-screen anchor: </w:t>
      </w:r>
      <w:r>
        <w:rPr>
          <w:rFonts w:ascii="Arimo" w:hAnsi="Arimo"/>
          <w:color w:val="5E7068"/>
          <w:sz w:val="17"/>
        </w:rPr>
        <w:t>BOPTEST: external controller testing with common APIs and KPIs · EnergyPlus and Modelica Buildings: dynamic building and HVAC simulation · FMI and FMU: portable model interfaces and co-simulation</w:t>
      </w:r>
    </w:p>
    <w:p>
      <w:pPr>
        <w:spacing w:after="80" w:line="250" w:lineRule="auto"/>
      </w:pPr>
      <w:r>
        <w:rPr>
          <w:rFonts w:ascii="Arimo" w:hAnsi="Arimo"/>
          <w:sz w:val="20"/>
        </w:rPr>
        <w:t>This proposal builds on established simulation practice. BOPTEST demonstrates how external control algorithms can interact with a common test environment and receive standardized performance indicators. EnergyPlus and the Modelica Buildings Library provide mature foundations for dynamic building and HVAC simulation. The Functional Mock-up Interface defines a standard way to package and exchange simulation models or coordinate co-simulation. ASHRAE Standard 140 provides a systematic philosophy for testing building energy simulation programs. These precedents support the architecture: a stable interface, versioned test cases, repeatable metrics, and replaceable engines. They do not certify the present RainForest app, and none of them can be applied to this biome without data preparation and calibration. Our implementation would use these foundations while documenting and validating its own RainForest-specific assumptions.</w:t>
      </w:r>
    </w:p>
    <w:p>
      <w:pPr>
        <w:spacing w:before="40" w:after="160"/>
      </w:pPr>
      <w:r>
        <w:rPr>
          <w:rFonts w:ascii="Arimo" w:hAnsi="Arimo"/>
          <w:b/>
          <w:color w:val="5E7068"/>
          <w:sz w:val="17"/>
        </w:rPr>
        <w:t xml:space="preserve">Sources: </w:t>
      </w:r>
      <w:r>
        <w:rPr>
          <w:rFonts w:ascii="Arimo" w:hAnsi="Arimo"/>
          <w:color w:val="5E7068"/>
          <w:sz w:val="17"/>
        </w:rPr>
        <w:t>https://ibpsa.github.io/project1-boptest/index.html  |  https://ibpsa.github.io/project1-boptest/docs-userguide/introduction.html  |  https://energyplus.net/  |  https://simulationresearch.lbl.gov/modelica/  |  https://fmi-standard.org/docs/main/  |  https://data.ashrae.org/standard140/</w:t>
      </w:r>
    </w:p>
    <w:p>
      <w:pPr>
        <w:pageBreakBefore/>
        <w:spacing w:after="60"/>
      </w:pPr>
      <w:r>
        <w:rPr>
          <w:rFonts w:ascii="Arimo" w:hAnsi="Arimo"/>
          <w:b/>
          <w:color w:val="167A55"/>
          <w:sz w:val="18"/>
        </w:rPr>
        <w:t>MAIN TALK  •  ACT 5 OF 6</w:t>
      </w:r>
    </w:p>
    <w:p>
      <w:pPr>
        <w:pStyle w:val="Heading1"/>
      </w:pPr>
      <w:r>
        <w:t>Act V — Student learning and research value</w:t>
      </w:r>
    </w:p>
    <w:p>
      <w:pPr>
        <w:pStyle w:val="Heading2"/>
      </w:pPr>
      <w:r>
        <w:t>Slide 13 — Student learning through simulation</w:t>
      </w:r>
    </w:p>
    <w:p>
      <w:pPr>
        <w:spacing w:after="80"/>
      </w:pPr>
      <w:r>
        <w:rPr>
          <w:rFonts w:ascii="Arimo" w:hAnsi="Arimo"/>
          <w:b/>
          <w:color w:val="167A55"/>
          <w:sz w:val="16"/>
        </w:rPr>
        <w:t>TIME  1:10   •   STAGE CUE  Follow one student project through testing, interpretation, faculty feedback, and revision. Emphasize learning outcomes.</w:t>
      </w:r>
    </w:p>
    <w:p>
      <w:pPr>
        <w:keepNext/>
        <w:spacing w:after="60"/>
      </w:pPr>
      <w:r>
        <w:rPr>
          <w:rFonts w:ascii="Arimo" w:hAnsi="Arimo"/>
          <w:b/>
          <w:color w:val="5E7068"/>
          <w:sz w:val="17"/>
        </w:rPr>
        <w:t xml:space="preserve">On-screen anchor: </w:t>
      </w:r>
      <w:r>
        <w:rPr>
          <w:rFonts w:ascii="Arimo" w:hAnsi="Arimo"/>
          <w:color w:val="5E7068"/>
          <w:sz w:val="17"/>
        </w:rPr>
        <w:t>Develop a student project · Test shared scenarios · Interpret results with faculty feedback</w:t>
      </w:r>
    </w:p>
    <w:p>
      <w:pPr>
        <w:spacing w:after="80" w:line="250" w:lineRule="auto"/>
      </w:pPr>
      <w:r>
        <w:rPr>
          <w:rFonts w:ascii="Arimo" w:hAnsi="Arimo"/>
          <w:sz w:val="20"/>
        </w:rPr>
        <w:t>A central purpose of the simulator is student learning. Students would develop a climate-control project, test it against documented scenarios, and examine the resulting trajectories. With faculty feedback, they could investigate why a design behaves differently across conditions and then revise it. This process would provide practice in experimental design, interpreting uncertainty, and connecting mathematical methods to a real environmental system. A documented strategy format would let students explore PID, MPC, reinforcement learning, or other approaches using the same interface. Versioned runs would help them explain and reproduce their findings. Student code would remain in an offline environment, separate from facility equipment. Hackathons, focused research projects, and possible publications could extend this educational use. The primary outcome would be students developing stronger research and engineering skills through guided experimentation.</w:t>
      </w:r>
    </w:p>
    <w:p>
      <w:pPr>
        <w:spacing w:before="40" w:after="160"/>
      </w:pPr>
      <w:r>
        <w:rPr>
          <w:rFonts w:ascii="Arimo" w:hAnsi="Arimo"/>
          <w:b/>
          <w:color w:val="5E7068"/>
          <w:sz w:val="17"/>
        </w:rPr>
        <w:t xml:space="preserve">Sources: </w:t>
      </w:r>
      <w:r>
        <w:rPr>
          <w:rFonts w:ascii="Arimo" w:hAnsi="Arimo"/>
          <w:color w:val="5E7068"/>
          <w:sz w:val="17"/>
        </w:rPr>
        <w:t>https://ibpsa.github.io/project1-boptest/index.html</w:t>
      </w:r>
    </w:p>
    <w:p>
      <w:pPr>
        <w:pStyle w:val="Heading2"/>
      </w:pPr>
      <w:r>
        <w:t>Slide 14 — Operational and economic value</w:t>
      </w:r>
    </w:p>
    <w:p>
      <w:pPr>
        <w:spacing w:after="80"/>
      </w:pPr>
      <w:r>
        <w:rPr>
          <w:rFonts w:ascii="Arimo" w:hAnsi="Arimo"/>
          <w:b/>
          <w:color w:val="167A55"/>
          <w:sz w:val="16"/>
        </w:rPr>
        <w:t>TIME  1:05   •   STAGE CUE  Pause on potential. Explicitly say there is no percentage or dollar promise today.</w:t>
      </w:r>
    </w:p>
    <w:p>
      <w:pPr>
        <w:keepNext/>
        <w:spacing w:after="60"/>
      </w:pPr>
      <w:r>
        <w:rPr>
          <w:rFonts w:ascii="Arimo" w:hAnsi="Arimo"/>
          <w:b/>
          <w:color w:val="5E7068"/>
          <w:sz w:val="17"/>
        </w:rPr>
        <w:t xml:space="preserve">On-screen anchor: </w:t>
      </w:r>
      <w:r>
        <w:rPr>
          <w:rFonts w:ascii="Arimo" w:hAnsi="Arimo"/>
          <w:color w:val="5E7068"/>
          <w:sz w:val="17"/>
        </w:rPr>
        <w:t>Explore climate and energy outcomes with strategy authors · Compare behavior under agreed scenarios · Support jointly planned field studies</w:t>
      </w:r>
    </w:p>
    <w:p>
      <w:pPr>
        <w:spacing w:after="80" w:line="250" w:lineRule="auto"/>
      </w:pPr>
      <w:r>
        <w:rPr>
          <w:rFonts w:ascii="Arimo" w:hAnsi="Arimo"/>
          <w:sz w:val="20"/>
        </w:rPr>
        <w:t>The platform would support research on energy use while maintaining the climate conditions the biome requires. Teams could compare schedules under agreed scenarios and examine climate trajectories alongside fan demand, valve motion, and other equipment indicators. Authors could explore when different strategies deliver similar climate performance with different energy requirements. These comparisons would complement the teams' existing analyses and help inform jointly planned field studies. Energy-cost savings are a potential benefit to investigate. Our PoC would first need calibrated energy relationships and validation against measurements, so I am not proposing a savings percentage or dollar figure today. Reproducible scenario results could also support research proposals, student projects, and grant applications, with assumptions and model limitations attached to each result.</w:t>
      </w:r>
    </w:p>
    <w:p>
      <w:pPr>
        <w:spacing w:before="40" w:after="160"/>
      </w:pPr>
      <w:r>
        <w:rPr>
          <w:rFonts w:ascii="Arimo" w:hAnsi="Arimo"/>
          <w:b/>
          <w:color w:val="5E7068"/>
          <w:sz w:val="17"/>
        </w:rPr>
        <w:t xml:space="preserve">Sources: </w:t>
      </w:r>
      <w:r>
        <w:rPr>
          <w:rFonts w:ascii="Arimo" w:hAnsi="Arimo"/>
          <w:color w:val="5E7068"/>
          <w:sz w:val="17"/>
        </w:rPr>
        <w:t>https://biosphere2.org/research/user-facility-information/energy-and-water</w:t>
      </w:r>
    </w:p>
    <w:p>
      <w:pPr>
        <w:pageBreakBefore/>
        <w:spacing w:after="60"/>
      </w:pPr>
      <w:r>
        <w:rPr>
          <w:rFonts w:ascii="Arimo" w:hAnsi="Arimo"/>
          <w:b/>
          <w:color w:val="167A55"/>
          <w:sz w:val="18"/>
        </w:rPr>
        <w:t>MAIN TALK  •  ACT 6 OF 6</w:t>
      </w:r>
    </w:p>
    <w:p>
      <w:pPr>
        <w:pStyle w:val="Heading1"/>
      </w:pPr>
      <w:r>
        <w:t>Act VI — What to build and what to approve</w:t>
      </w:r>
    </w:p>
    <w:p>
      <w:pPr>
        <w:pStyle w:val="Heading2"/>
      </w:pPr>
      <w:r>
        <w:t>Slide 15 — Sixteen-week Proof of Concept</w:t>
      </w:r>
    </w:p>
    <w:p>
      <w:pPr>
        <w:spacing w:after="80"/>
      </w:pPr>
      <w:r>
        <w:rPr>
          <w:rFonts w:ascii="Arimo" w:hAnsi="Arimo"/>
          <w:b/>
          <w:color w:val="167A55"/>
          <w:sz w:val="16"/>
        </w:rPr>
        <w:t>TIME  1:30   •   STAGE CUE  Move through the four stages. Finish on the exit package.</w:t>
      </w:r>
    </w:p>
    <w:p>
      <w:pPr>
        <w:keepNext/>
        <w:spacing w:after="60"/>
      </w:pPr>
      <w:r>
        <w:rPr>
          <w:rFonts w:ascii="Arimo" w:hAnsi="Arimo"/>
          <w:b/>
          <w:color w:val="5E7068"/>
          <w:sz w:val="17"/>
        </w:rPr>
        <w:t xml:space="preserve">On-screen anchor: </w:t>
      </w:r>
      <w:r>
        <w:rPr>
          <w:rFonts w:ascii="Arimo" w:hAnsi="Arimo"/>
          <w:color w:val="5E7068"/>
          <w:sz w:val="17"/>
        </w:rPr>
        <w:t>Weeks 1-4: synchronize data, controls, context, and limits · Weeks 5-8: benchmark engines and uncertainty · Weeks 9-12: implement the module API, scenarios, KPIs, and interface</w:t>
      </w:r>
    </w:p>
    <w:p>
      <w:pPr>
        <w:spacing w:after="80" w:line="250" w:lineRule="auto"/>
      </w:pPr>
      <w:r>
        <w:rPr>
          <w:rFonts w:ascii="Arimo" w:hAnsi="Arimo"/>
          <w:sz w:val="20"/>
        </w:rPr>
        <w:t>The work fits into four stages. During weeks one through four, we align the 64-control inventory with the 36 climate channels, weather and operating context, energy signals, timestamps, units, and operating limits. This stage also defines training and holdout periods for independent assessment of our models. During weeks five through eight, we build and benchmark at least two practical engine families, quantify forecast error, and add uncertainty or out-of-distribution diagnostics. During weeks nine through twelve, we implement the stable module interface, scenario definitions, climate and energy indicators, constraint logic, and the review interface. During weeks thirteen through sixteen, we replay historical periods, compare predictions with measured outcomes, conduct operator review, and run acceptance tests. The final deliverable is not a claim of autonomous control. It is a working offline testbed, a validation report, documented limitations, and a recommendation on Phase 2 investment.</w:t>
      </w:r>
    </w:p>
    <w:p>
      <w:pPr>
        <w:pStyle w:val="Heading2"/>
      </w:pPr>
      <w:r>
        <w:t>Slide 16 — Decision requested</w:t>
      </w:r>
    </w:p>
    <w:p>
      <w:pPr>
        <w:spacing w:after="80"/>
      </w:pPr>
      <w:r>
        <w:rPr>
          <w:rFonts w:ascii="Arimo" w:hAnsi="Arimo"/>
          <w:b/>
          <w:color w:val="167A55"/>
          <w:sz w:val="16"/>
        </w:rPr>
        <w:t>TIME  1:05   •   STAGE CUE  Slow down. Make the three requests one at a time, then end on the decision question.</w:t>
      </w:r>
    </w:p>
    <w:p>
      <w:pPr>
        <w:keepNext/>
        <w:spacing w:after="60"/>
      </w:pPr>
      <w:r>
        <w:rPr>
          <w:rFonts w:ascii="Arimo" w:hAnsi="Arimo"/>
          <w:b/>
          <w:color w:val="5E7068"/>
          <w:sz w:val="17"/>
        </w:rPr>
        <w:t xml:space="preserve">On-screen anchor: </w:t>
      </w:r>
      <w:r>
        <w:rPr>
          <w:rFonts w:ascii="Arimo" w:hAnsi="Arimo"/>
          <w:color w:val="5E7068"/>
          <w:sz w:val="17"/>
        </w:rPr>
        <w:t>Approve the sixteen-week Proof of Concept · Assign a Biosphere 2 operations liaison · Authorize access to synchronized controls, sensors, weather, energy signals, and operating limits</w:t>
      </w:r>
    </w:p>
    <w:p>
      <w:pPr>
        <w:spacing w:after="80" w:line="250" w:lineRule="auto"/>
      </w:pPr>
      <w:r>
        <w:rPr>
          <w:rFonts w:ascii="Arimo" w:hAnsi="Arimo"/>
          <w:sz w:val="20"/>
        </w:rPr>
        <w:t>I am asking for approval to build the sixteen-week offline Proof of Concept. The project needs a Biosphere 2 operations liaison and authorized access to synchronized control histories, RainForest climate measurements, relevant weather and operating context, energy signals, and known operating limits. I would lead the implementation under the academic supervision of Dr. Ildar Gabitov. Researchers and Biosphere 2 staff would help define relevant scenarios and review the assumptions and acceptance criteria. At the end, leadership would receive the working testbed, model benchmark, validation evidence, limitations, and a Phase 2 recommendation. No equipment connection is part of this request. The proposed PoC would support existing climate-control research and give students a shared environment for testing and improving their projects.</w:t>
      </w:r>
    </w:p>
    <w:p>
      <w:pPr>
        <w:pageBreakBefore/>
        <w:spacing w:after="60"/>
      </w:pPr>
      <w:r>
        <w:rPr>
          <w:rFonts w:ascii="Arimo" w:hAnsi="Arimo"/>
          <w:b/>
          <w:color w:val="167A55"/>
          <w:sz w:val="18"/>
        </w:rPr>
        <w:t>REHEARSAL AID</w:t>
      </w:r>
    </w:p>
    <w:p>
      <w:pPr>
        <w:pStyle w:val="Heading1"/>
      </w:pPr>
      <w:r>
        <w:t>Pronunciation and mathematical reading</w:t>
      </w:r>
    </w:p>
    <w:p>
      <w:pPr>
        <w:spacing w:after="200"/>
      </w:pPr>
      <w:r>
        <w:t>Use the letter-by-letter readings for acronyms. Keep the formula on slide 3 conversational; it is a definition of the forward step, not a derivation.</w:t>
      </w:r>
    </w:p>
    <w:tbl>
      <w:tblPr>
        <w:tblW w:type="auto" w:w="0"/>
        <w:jc w:val="center"/>
        <w:tblLayout w:type="fixed"/>
        <w:tblLook w:firstColumn="1" w:firstRow="1" w:lastColumn="0" w:lastRow="0" w:noHBand="0" w:noVBand="1" w:val="04A0"/>
      </w:tblPr>
      <w:tblGrid>
        <w:gridCol w:w="3024"/>
        <w:gridCol w:w="7056"/>
      </w:tblGrid>
      <w:tr>
        <w:tc>
          <w:tcPr>
            <w:tcW w:type="dxa" w:w="5083"/>
            <w:shd w:fill="167A55"/>
            <w:tcMar>
              <w:top w:w="90" w:type="dxa"/>
              <w:start w:w="100" w:type="dxa"/>
              <w:bottom w:w="90" w:type="dxa"/>
              <w:end w:w="100" w:type="dxa"/>
            </w:tcMar>
          </w:tcPr>
          <w:p>
            <w:r>
              <w:rPr>
                <w:rFonts w:ascii="Arimo" w:hAnsi="Arimo"/>
                <w:b/>
                <w:color w:val="FFFFFF"/>
                <w:sz w:val="18"/>
              </w:rPr>
              <w:t>TERM</w:t>
            </w:r>
          </w:p>
        </w:tc>
        <w:tc>
          <w:tcPr>
            <w:tcW w:type="dxa" w:w="5083"/>
            <w:shd w:fill="167A55"/>
            <w:tcMar>
              <w:top w:w="90" w:type="dxa"/>
              <w:start w:w="100" w:type="dxa"/>
              <w:bottom w:w="90" w:type="dxa"/>
              <w:end w:w="100" w:type="dxa"/>
            </w:tcMar>
          </w:tcPr>
          <w:p>
            <w:r>
              <w:rPr>
                <w:rFonts w:ascii="Arimo" w:hAnsi="Arimo"/>
                <w:b/>
                <w:color w:val="FFFFFF"/>
                <w:sz w:val="18"/>
              </w:rPr>
              <w:t>SAY</w:t>
            </w:r>
          </w:p>
        </w:tc>
      </w:tr>
      <w:tr>
        <w:tc>
          <w:tcPr>
            <w:tcW w:type="dxa" w:w="3024"/>
            <w:shd w:fill="F4F7F3"/>
            <w:tcMar>
              <w:top w:w="90" w:type="dxa"/>
              <w:start w:w="100" w:type="dxa"/>
              <w:bottom w:w="90" w:type="dxa"/>
              <w:end w:w="100" w:type="dxa"/>
            </w:tcMar>
            <w:tcBorders>
              <w:bottom w:val="single" w:sz="4" w:color="FFFFFF"/>
            </w:tcBorders>
          </w:tcPr>
          <w:p>
            <w:r>
              <w:rPr>
                <w:rFonts w:ascii="Arimo" w:hAnsi="Arimo"/>
                <w:b/>
                <w:sz w:val="19"/>
              </w:rPr>
              <w:t>BOPTEST</w:t>
            </w:r>
          </w:p>
        </w:tc>
        <w:tc>
          <w:tcPr>
            <w:tcW w:type="dxa" w:w="7056"/>
            <w:shd w:fill="F4F7F3"/>
            <w:tcMar>
              <w:top w:w="90" w:type="dxa"/>
              <w:start w:w="100" w:type="dxa"/>
              <w:bottom w:w="90" w:type="dxa"/>
              <w:end w:w="100" w:type="dxa"/>
            </w:tcMar>
            <w:tcBorders>
              <w:bottom w:val="single" w:sz="4" w:color="FFFFFF"/>
            </w:tcBorders>
          </w:tcPr>
          <w:p>
            <w:r>
              <w:rPr>
                <w:rFonts w:ascii="Arimo" w:hAnsi="Arimo"/>
                <w:sz w:val="19"/>
              </w:rPr>
              <w:t>B-O-P-test</w:t>
            </w:r>
          </w:p>
        </w:tc>
      </w:tr>
      <w:tr>
        <w:tc>
          <w:tcPr>
            <w:tcW w:type="dxa" w:w="3024"/>
            <w:shd w:fill="F4F7F3"/>
            <w:tcMar>
              <w:top w:w="90" w:type="dxa"/>
              <w:start w:w="100" w:type="dxa"/>
              <w:bottom w:w="90" w:type="dxa"/>
              <w:end w:w="100" w:type="dxa"/>
            </w:tcMar>
            <w:tcBorders>
              <w:bottom w:val="single" w:sz="4" w:color="FFFFFF"/>
            </w:tcBorders>
          </w:tcPr>
          <w:p>
            <w:r>
              <w:rPr>
                <w:rFonts w:ascii="Arimo" w:hAnsi="Arimo"/>
                <w:b/>
                <w:sz w:val="19"/>
              </w:rPr>
              <w:t>FMI</w:t>
            </w:r>
          </w:p>
        </w:tc>
        <w:tc>
          <w:tcPr>
            <w:tcW w:type="dxa" w:w="7056"/>
            <w:shd w:fill="F4F7F3"/>
            <w:tcMar>
              <w:top w:w="90" w:type="dxa"/>
              <w:start w:w="100" w:type="dxa"/>
              <w:bottom w:w="90" w:type="dxa"/>
              <w:end w:w="100" w:type="dxa"/>
            </w:tcMar>
            <w:tcBorders>
              <w:bottom w:val="single" w:sz="4" w:color="FFFFFF"/>
            </w:tcBorders>
          </w:tcPr>
          <w:p>
            <w:r>
              <w:rPr>
                <w:rFonts w:ascii="Arimo" w:hAnsi="Arimo"/>
                <w:sz w:val="19"/>
              </w:rPr>
              <w:t>F-M-I</w:t>
            </w:r>
          </w:p>
        </w:tc>
      </w:tr>
      <w:tr>
        <w:tc>
          <w:tcPr>
            <w:tcW w:type="dxa" w:w="3024"/>
            <w:shd w:fill="F4F7F3"/>
            <w:tcMar>
              <w:top w:w="90" w:type="dxa"/>
              <w:start w:w="100" w:type="dxa"/>
              <w:bottom w:w="90" w:type="dxa"/>
              <w:end w:w="100" w:type="dxa"/>
            </w:tcMar>
            <w:tcBorders>
              <w:bottom w:val="single" w:sz="4" w:color="FFFFFF"/>
            </w:tcBorders>
          </w:tcPr>
          <w:p>
            <w:r>
              <w:rPr>
                <w:rFonts w:ascii="Arimo" w:hAnsi="Arimo"/>
                <w:b/>
                <w:sz w:val="19"/>
              </w:rPr>
              <w:t>FMU</w:t>
            </w:r>
          </w:p>
        </w:tc>
        <w:tc>
          <w:tcPr>
            <w:tcW w:type="dxa" w:w="7056"/>
            <w:shd w:fill="F4F7F3"/>
            <w:tcMar>
              <w:top w:w="90" w:type="dxa"/>
              <w:start w:w="100" w:type="dxa"/>
              <w:bottom w:w="90" w:type="dxa"/>
              <w:end w:w="100" w:type="dxa"/>
            </w:tcMar>
            <w:tcBorders>
              <w:bottom w:val="single" w:sz="4" w:color="FFFFFF"/>
            </w:tcBorders>
          </w:tcPr>
          <w:p>
            <w:r>
              <w:rPr>
                <w:rFonts w:ascii="Arimo" w:hAnsi="Arimo"/>
                <w:sz w:val="19"/>
              </w:rPr>
              <w:t>F-M-U</w:t>
            </w:r>
          </w:p>
        </w:tc>
      </w:tr>
      <w:tr>
        <w:tc>
          <w:tcPr>
            <w:tcW w:type="dxa" w:w="3024"/>
            <w:shd w:fill="F4F7F3"/>
            <w:tcMar>
              <w:top w:w="90" w:type="dxa"/>
              <w:start w:w="100" w:type="dxa"/>
              <w:bottom w:w="90" w:type="dxa"/>
              <w:end w:w="100" w:type="dxa"/>
            </w:tcMar>
            <w:tcBorders>
              <w:bottom w:val="single" w:sz="4" w:color="FFFFFF"/>
            </w:tcBorders>
          </w:tcPr>
          <w:p>
            <w:r>
              <w:rPr>
                <w:rFonts w:ascii="Arimo" w:hAnsi="Arimo"/>
                <w:b/>
                <w:sz w:val="19"/>
              </w:rPr>
              <w:t>Modelica</w:t>
            </w:r>
          </w:p>
        </w:tc>
        <w:tc>
          <w:tcPr>
            <w:tcW w:type="dxa" w:w="7056"/>
            <w:shd w:fill="F4F7F3"/>
            <w:tcMar>
              <w:top w:w="90" w:type="dxa"/>
              <w:start w:w="100" w:type="dxa"/>
              <w:bottom w:w="90" w:type="dxa"/>
              <w:end w:w="100" w:type="dxa"/>
            </w:tcMar>
            <w:tcBorders>
              <w:bottom w:val="single" w:sz="4" w:color="FFFFFF"/>
            </w:tcBorders>
          </w:tcPr>
          <w:p>
            <w:r>
              <w:rPr>
                <w:rFonts w:ascii="Arimo" w:hAnsi="Arimo"/>
                <w:sz w:val="19"/>
              </w:rPr>
              <w:t>mo-DELL-ih-ka</w:t>
            </w:r>
          </w:p>
        </w:tc>
      </w:tr>
      <w:tr>
        <w:tc>
          <w:tcPr>
            <w:tcW w:type="dxa" w:w="3024"/>
            <w:shd w:fill="F4F7F3"/>
            <w:tcMar>
              <w:top w:w="90" w:type="dxa"/>
              <w:start w:w="100" w:type="dxa"/>
              <w:bottom w:w="90" w:type="dxa"/>
              <w:end w:w="100" w:type="dxa"/>
            </w:tcMar>
            <w:tcBorders>
              <w:bottom w:val="single" w:sz="4" w:color="FFFFFF"/>
            </w:tcBorders>
          </w:tcPr>
          <w:p>
            <w:r>
              <w:rPr>
                <w:rFonts w:ascii="Arimo" w:hAnsi="Arimo"/>
                <w:b/>
                <w:sz w:val="19"/>
              </w:rPr>
              <w:t>LSTM</w:t>
            </w:r>
          </w:p>
        </w:tc>
        <w:tc>
          <w:tcPr>
            <w:tcW w:type="dxa" w:w="7056"/>
            <w:shd w:fill="F4F7F3"/>
            <w:tcMar>
              <w:top w:w="90" w:type="dxa"/>
              <w:start w:w="100" w:type="dxa"/>
              <w:bottom w:w="90" w:type="dxa"/>
              <w:end w:w="100" w:type="dxa"/>
            </w:tcMar>
            <w:tcBorders>
              <w:bottom w:val="single" w:sz="4" w:color="FFFFFF"/>
            </w:tcBorders>
          </w:tcPr>
          <w:p>
            <w:r>
              <w:rPr>
                <w:rFonts w:ascii="Arimo" w:hAnsi="Arimo"/>
                <w:sz w:val="19"/>
              </w:rPr>
              <w:t>L-S-T-M</w:t>
            </w:r>
          </w:p>
        </w:tc>
      </w:tr>
      <w:tr>
        <w:tc>
          <w:tcPr>
            <w:tcW w:type="dxa" w:w="3024"/>
            <w:shd w:fill="F4F7F3"/>
            <w:tcMar>
              <w:top w:w="90" w:type="dxa"/>
              <w:start w:w="100" w:type="dxa"/>
              <w:bottom w:w="90" w:type="dxa"/>
              <w:end w:w="100" w:type="dxa"/>
            </w:tcMar>
            <w:tcBorders>
              <w:bottom w:val="single" w:sz="4" w:color="FFFFFF"/>
            </w:tcBorders>
          </w:tcPr>
          <w:p>
            <w:r>
              <w:rPr>
                <w:rFonts w:ascii="Arimo" w:hAnsi="Arimo"/>
                <w:b/>
                <w:sz w:val="19"/>
              </w:rPr>
              <w:t>Hamiltonian</w:t>
            </w:r>
          </w:p>
        </w:tc>
        <w:tc>
          <w:tcPr>
            <w:tcW w:type="dxa" w:w="7056"/>
            <w:shd w:fill="F4F7F3"/>
            <w:tcMar>
              <w:top w:w="90" w:type="dxa"/>
              <w:start w:w="100" w:type="dxa"/>
              <w:bottom w:w="90" w:type="dxa"/>
              <w:end w:w="100" w:type="dxa"/>
            </w:tcMar>
            <w:tcBorders>
              <w:bottom w:val="single" w:sz="4" w:color="FFFFFF"/>
            </w:tcBorders>
          </w:tcPr>
          <w:p>
            <w:r>
              <w:rPr>
                <w:rFonts w:ascii="Arimo" w:hAnsi="Arimo"/>
                <w:sz w:val="19"/>
              </w:rPr>
              <w:t>ham-il-TOE-nee-an</w:t>
            </w:r>
          </w:p>
        </w:tc>
      </w:tr>
      <w:tr>
        <w:tc>
          <w:tcPr>
            <w:tcW w:type="dxa" w:w="3024"/>
            <w:shd w:fill="F4F7F3"/>
            <w:tcMar>
              <w:top w:w="90" w:type="dxa"/>
              <w:start w:w="100" w:type="dxa"/>
              <w:bottom w:w="90" w:type="dxa"/>
              <w:end w:w="100" w:type="dxa"/>
            </w:tcMar>
            <w:tcBorders>
              <w:bottom w:val="single" w:sz="4" w:color="FFFFFF"/>
            </w:tcBorders>
          </w:tcPr>
          <w:p>
            <w:r>
              <w:rPr>
                <w:rFonts w:ascii="Arimo" w:hAnsi="Arimo"/>
                <w:b/>
                <w:sz w:val="19"/>
              </w:rPr>
              <w:t>Gabitov</w:t>
            </w:r>
          </w:p>
        </w:tc>
        <w:tc>
          <w:tcPr>
            <w:tcW w:type="dxa" w:w="7056"/>
            <w:shd w:fill="F4F7F3"/>
            <w:tcMar>
              <w:top w:w="90" w:type="dxa"/>
              <w:start w:w="100" w:type="dxa"/>
              <w:bottom w:w="90" w:type="dxa"/>
              <w:end w:w="100" w:type="dxa"/>
            </w:tcMar>
            <w:tcBorders>
              <w:bottom w:val="single" w:sz="4" w:color="FFFFFF"/>
            </w:tcBorders>
          </w:tcPr>
          <w:p>
            <w:r>
              <w:rPr>
                <w:rFonts w:ascii="Arimo" w:hAnsi="Arimo"/>
                <w:sz w:val="19"/>
              </w:rPr>
              <w:t>GAH-bee-tov</w:t>
            </w:r>
          </w:p>
        </w:tc>
      </w:tr>
    </w:tbl>
    <w:p/>
    <w:p>
      <w:pPr>
        <w:pStyle w:val="Heading2"/>
      </w:pPr>
      <w:r>
        <w:t>Slide 3 formula</w:t>
      </w:r>
    </w:p>
    <w:p>
      <w:r>
        <w:rPr>
          <w:rFonts w:ascii="Arimo" w:hAnsi="Arimo"/>
          <w:b/>
          <w:sz w:val="24"/>
        </w:rPr>
        <w:t>x sub k plus one equals F theta of x sub k, u sub k, and w sub k.</w:t>
      </w:r>
    </w:p>
    <w:p>
      <w:pPr>
        <w:spacing w:after="200"/>
      </w:pPr>
      <w:r>
        <w:t>Meaning: the next climate state is estimated from the current state, the 64 control values, and external context such as weather and operating mode.</w:t>
      </w:r>
    </w:p>
    <w:p>
      <w:pPr>
        <w:pStyle w:val="Heading2"/>
      </w:pPr>
      <w:r>
        <w:t>If the demo does not play</w:t>
      </w:r>
    </w:p>
    <w:p>
      <w:r>
        <w:t>Use the static frame on slide 7, say the same script, and invite the audience to scan the QR code after the talk. The argument does not depend on live connectivity.</w:t>
      </w:r>
    </w:p>
    <w:p>
      <w:pPr>
        <w:pageBreakBefore/>
        <w:spacing w:after="60"/>
      </w:pPr>
      <w:r>
        <w:rPr>
          <w:rFonts w:ascii="Arimo" w:hAnsi="Arimo"/>
          <w:b/>
          <w:color w:val="E69B3A"/>
          <w:sz w:val="18"/>
        </w:rPr>
        <w:t>PREPARED Q&amp;A  •  GROUP 1 OF 5</w:t>
      </w:r>
    </w:p>
    <w:p>
      <w:pPr>
        <w:pStyle w:val="Heading1"/>
      </w:pPr>
      <w:r>
        <w:t>Accuracy and observability</w:t>
      </w:r>
    </w:p>
    <w:p>
      <w:pPr>
        <w:pStyle w:val="Heading3"/>
      </w:pPr>
      <w:r>
        <w:t>Q1. How accurate must the simulator be before it is useful?</w:t>
      </w:r>
    </w:p>
    <w:p>
      <w:pPr>
        <w:spacing w:after="160" w:line="269" w:lineRule="auto"/>
      </w:pPr>
      <w:r>
        <w:t>The threshold depends on the decision. A model used to rank strategies may be useful before it is accurate enough to support a tightly bounded field trial. The PoC will report error by channel, forecast horizon, season, and operating region. It will also test whether uncertainty expands when the proposed strategy differs from the training data. Biosphere 2 operations should approve acceptance thresholds for each use case.</w:t>
      </w:r>
    </w:p>
    <w:p>
      <w:pPr>
        <w:pStyle w:val="Heading3"/>
      </w:pPr>
      <w:r>
        <w:t>Q2. What happens when sensors are missing or unreliable?</w:t>
      </w:r>
    </w:p>
    <w:p>
      <w:pPr>
        <w:spacing w:after="160" w:line="269" w:lineRule="auto"/>
      </w:pPr>
      <w:r>
        <w:t>The platform will preserve quality flags, identify missing channels, and use only documented imputation or state-estimation methods. Results will show when the engine runs in a degraded mode. If the missing information makes a conclusion unreliable, the simulator should reject the run or widen its uncertainty rather than fill the gap silently.</w:t>
      </w:r>
    </w:p>
    <w:p>
      <w:pPr>
        <w:pStyle w:val="Heading3"/>
      </w:pPr>
      <w:r>
        <w:t>Q3. How will you prove that controls caused the predicted climate response?</w:t>
      </w:r>
    </w:p>
    <w:p>
      <w:pPr>
        <w:spacing w:after="160" w:line="269" w:lineRule="auto"/>
      </w:pPr>
      <w:r>
        <w:t>Historical correlation alone cannot prove causality. The PoC will align command histories, actual actuator states when available, sensor measurements, weather, schedules, and operating modes. It will test models on untouched chronological periods and examine natural or documented interventions. Any later field identification experiment would require a separate operator-approved protocol with safe bounds and rollback conditions.</w:t>
      </w:r>
    </w:p>
    <w:p>
      <w:pPr>
        <w:pageBreakBefore/>
        <w:spacing w:after="60"/>
      </w:pPr>
      <w:r>
        <w:rPr>
          <w:rFonts w:ascii="Arimo" w:hAnsi="Arimo"/>
          <w:b/>
          <w:color w:val="E69B3A"/>
          <w:sz w:val="18"/>
        </w:rPr>
        <w:t>PREPARED Q&amp;A  •  GROUP 2 OF 5</w:t>
      </w:r>
    </w:p>
    <w:p>
      <w:pPr>
        <w:pStyle w:val="Heading1"/>
      </w:pPr>
      <w:r>
        <w:t>Safety and operational authority</w:t>
      </w:r>
    </w:p>
    <w:p>
      <w:pPr>
        <w:pStyle w:val="Heading3"/>
      </w:pPr>
      <w:r>
        <w:t>Q4. Could this system damage equipment or the biome?</w:t>
      </w:r>
    </w:p>
    <w:p>
      <w:pPr>
        <w:spacing w:after="160" w:line="269" w:lineRule="auto"/>
      </w:pPr>
      <w:r>
        <w:t>The proposed PoC cannot write to facility equipment. It is an offline advisory testbed. It validates file structure and control bounds, then returns predicted consequences for review. A future equipment connection would require a separate project, safety case, operating procedure, cybersecurity review, named authority, and tested rollback path.</w:t>
      </w:r>
    </w:p>
    <w:p>
      <w:pPr>
        <w:pStyle w:val="Heading3"/>
      </w:pPr>
      <w:r>
        <w:t>Q5. Who decides whether a strategy can be tested in the real facility?</w:t>
      </w:r>
    </w:p>
    <w:p>
      <w:pPr>
        <w:spacing w:after="160" w:line="269" w:lineRule="auto"/>
      </w:pPr>
      <w:r>
        <w:t>Biosphere 2 operations retains that authority. Model developers can provide evidence and recommendations, but model confidence does not authorize deployment. Any field trial should have an approved scope, operator, time window, limits, monitoring plan, and stop conditions.</w:t>
      </w:r>
    </w:p>
    <w:p>
      <w:pPr>
        <w:pStyle w:val="Heading3"/>
      </w:pPr>
      <w:r>
        <w:t>Q6. How will cybersecurity and access control be handled?</w:t>
      </w:r>
    </w:p>
    <w:p>
      <w:pPr>
        <w:spacing w:after="160" w:line="269" w:lineRule="auto"/>
      </w:pPr>
      <w:r>
        <w:t>The first phase uses offline copies of authorized data and has no operational write path. Access should follow least privilege. Strategy files, models, scenarios, and results will be versioned. Research services should remain separated from building-control networks. Any later integration would require review by the responsible University and Biosphere 2 security teams.</w:t>
      </w:r>
    </w:p>
    <w:p>
      <w:pPr>
        <w:pageBreakBefore/>
        <w:spacing w:after="60"/>
      </w:pPr>
      <w:r>
        <w:rPr>
          <w:rFonts w:ascii="Arimo" w:hAnsi="Arimo"/>
          <w:b/>
          <w:color w:val="E69B3A"/>
          <w:sz w:val="18"/>
        </w:rPr>
        <w:t>PREPARED Q&amp;A  •  GROUP 3 OF 5</w:t>
      </w:r>
    </w:p>
    <w:p>
      <w:pPr>
        <w:pStyle w:val="Heading1"/>
      </w:pPr>
      <w:r>
        <w:t>Model and platform choices</w:t>
      </w:r>
    </w:p>
    <w:p>
      <w:pPr>
        <w:pStyle w:val="Heading3"/>
      </w:pPr>
      <w:r>
        <w:t>Q7. Why not use EnergyPlus as the entire solution?</w:t>
      </w:r>
    </w:p>
    <w:p>
      <w:pPr>
        <w:spacing w:after="160" w:line="269" w:lineRule="auto"/>
      </w:pPr>
      <w:r>
        <w:t>EnergyPlus is a mature engine for whole-building and HVAC simulation, but the RainForest is an unusual, highly coupled biome. A useful EnergyPlus model would still require geometry, system representation, parameter calibration, and validation against facility data. The PoC treats EnergyPlus as one candidate or component and compares it with lower-order and data-driven alternatives.</w:t>
      </w:r>
    </w:p>
    <w:p>
      <w:pPr>
        <w:pStyle w:val="Heading3"/>
      </w:pPr>
      <w:r>
        <w:t>Q8. Why are you considering an LSTM?</w:t>
      </w:r>
    </w:p>
    <w:p>
      <w:pPr>
        <w:spacing w:after="160" w:line="269" w:lineRule="auto"/>
      </w:pPr>
      <w:r>
        <w:t>An LSTM can represent nonlinear temporal relationships and delayed responses in long sensor histories. It may provide a practical surrogate for repeated strategy evaluation. Its limitations are equally important: it needs synchronized causal inputs, can fail outside its training region, and is harder to interpret. The PoC benchmarks it rather than assuming it is the answer.</w:t>
      </w:r>
    </w:p>
    <w:p>
      <w:pPr>
        <w:pStyle w:val="Heading3"/>
      </w:pPr>
      <w:r>
        <w:t>Q9. How can a new mathematical engine be added later?</w:t>
      </w:r>
    </w:p>
    <w:p>
      <w:pPr>
        <w:spacing w:after="160" w:line="269" w:lineRule="auto"/>
      </w:pPr>
      <w:r>
        <w:t>Every engine implements the same input and output contract. It receives an initial state, a 64-control schedule, context, and a horizon. It returns 36-channel trajectories, uncertainty, constraints, energy indicators, and diagnostics. An adapter can wrap a state-space model, a machine-learning service, EnergyPlus, Modelica, or an FMI-compatible model.</w:t>
      </w:r>
    </w:p>
    <w:p>
      <w:pPr>
        <w:pageBreakBefore/>
        <w:spacing w:after="60"/>
      </w:pPr>
      <w:r>
        <w:rPr>
          <w:rFonts w:ascii="Arimo" w:hAnsi="Arimo"/>
          <w:b/>
          <w:color w:val="E69B3A"/>
          <w:sz w:val="18"/>
        </w:rPr>
        <w:t>PREPARED Q&amp;A  •  GROUP 4 OF 5</w:t>
      </w:r>
    </w:p>
    <w:p>
      <w:pPr>
        <w:pStyle w:val="Heading1"/>
      </w:pPr>
      <w:r>
        <w:t>Value, resources, and schedule</w:t>
      </w:r>
    </w:p>
    <w:p>
      <w:pPr>
        <w:pStyle w:val="Heading3"/>
      </w:pPr>
      <w:r>
        <w:t>Q10. How will you prove energy savings?</w:t>
      </w:r>
    </w:p>
    <w:p>
      <w:pPr>
        <w:spacing w:after="160" w:line="269" w:lineRule="auto"/>
      </w:pPr>
      <w:r>
        <w:t>The PoC will first define energy indicators and calibrate them against available equipment or facility energy measurements. It can then compare strategies under identical simulated scenarios. A real savings claim would require an approved baseline and controlled operational validation that accounts for weather and operating differences. No percentage or dollar figure should be claimed before that evidence exists.</w:t>
      </w:r>
    </w:p>
    <w:p>
      <w:pPr>
        <w:pStyle w:val="Heading3"/>
      </w:pPr>
      <w:r>
        <w:t>Q11. What resources does the Proof of Concept require?</w:t>
      </w:r>
    </w:p>
    <w:p>
      <w:pPr>
        <w:spacing w:after="160" w:line="269" w:lineRule="auto"/>
      </w:pPr>
      <w:r>
        <w:t>The essential resources are authorized access to synchronized control, sensor, weather, operating-context, and energy data; regular time with an operations liaison; implementation effort; and ordinary model-training and simulation compute. The first four weeks will determine whether additional instrumentation or specialized software is necessary.</w:t>
      </w:r>
    </w:p>
    <w:p>
      <w:pPr>
        <w:pStyle w:val="Heading3"/>
      </w:pPr>
      <w:r>
        <w:t>Q12. Why is the schedule sixteen weeks?</w:t>
      </w:r>
    </w:p>
    <w:p>
      <w:pPr>
        <w:spacing w:after="160" w:line="269" w:lineRule="auto"/>
      </w:pPr>
      <w:r>
        <w:t>Our proposed sixteen-week schedule covers four stages: data alignment, model benchmarking, platform integration, and historical replay with operator review. It allows time to assess our engine and its limitations, document the scenarios, and prepare a shared testbed for research and teaching. The scope remains narrow enough to end with a clear decision about Phase 2.</w:t>
      </w:r>
    </w:p>
    <w:p>
      <w:pPr>
        <w:pageBreakBefore/>
        <w:spacing w:after="60"/>
      </w:pPr>
      <w:r>
        <w:rPr>
          <w:rFonts w:ascii="Arimo" w:hAnsi="Arimo"/>
          <w:b/>
          <w:color w:val="E69B3A"/>
          <w:sz w:val="18"/>
        </w:rPr>
        <w:t>PREPARED Q&amp;A  •  GROUP 5 OF 5</w:t>
      </w:r>
    </w:p>
    <w:p>
      <w:pPr>
        <w:pStyle w:val="Heading1"/>
      </w:pPr>
      <w:r>
        <w:t>Students, publications, and governance</w:t>
      </w:r>
    </w:p>
    <w:p>
      <w:pPr>
        <w:pStyle w:val="Heading3"/>
      </w:pPr>
      <w:r>
        <w:t>Q13. How will you prevent student code from creating operational risk?</w:t>
      </w:r>
    </w:p>
    <w:p>
      <w:pPr>
        <w:spacing w:after="160" w:line="269" w:lineRule="auto"/>
      </w:pPr>
      <w:r>
        <w:t>Students will work against offline benchmark scenarios and a documented strategy interface. Their code will not connect to facility equipment. Submissions can run in isolated containers with resource limits. The platform will validate outputs and preserve a complete run record. Only Biosphere 2 operations could authorize any later field evaluation.</w:t>
      </w:r>
    </w:p>
    <w:p>
      <w:pPr>
        <w:pStyle w:val="Heading3"/>
      </w:pPr>
      <w:r>
        <w:t>Q14. How will publications, data rights, and intellectual property be managed?</w:t>
      </w:r>
    </w:p>
    <w:p>
      <w:pPr>
        <w:spacing w:after="160" w:line="269" w:lineRule="auto"/>
      </w:pPr>
      <w:r>
        <w:t>The program should establish written rules before external participation. Those rules should identify which datasets can be shared, how sensitive operating information is protected, how results are reviewed before publication, and how authorship and intellectual property follow University and Biosphere 2 policy. Reproducible benchmark results make those decisions easier to audit.</w:t>
      </w:r>
    </w:p>
    <w:p>
      <w:pPr>
        <w:pStyle w:val="Heading3"/>
      </w:pPr>
      <w:r>
        <w:t>Q15. Who owns and maintains the platform after the PoC?</w:t>
      </w:r>
    </w:p>
    <w:p>
      <w:pPr>
        <w:spacing w:after="160" w:line="269" w:lineRule="auto"/>
      </w:pPr>
      <w:r>
        <w:t>The PoC will end with a governance recommendation rather than assume an owner. A sustainable arrangement needs a Biosphere 2 operational owner, a named technical maintainer, model and scenario release criteria, a review calendar, and a process for incident reporting and retirement of outdated engines. Leadership can decide whether that structure belongs in a research group, operations, or a joint program.</w:t>
      </w:r>
    </w:p>
    <w:p>
      <w:pPr>
        <w:pageBreakBefore/>
        <w:spacing w:after="60"/>
      </w:pPr>
      <w:r>
        <w:rPr>
          <w:rFonts w:ascii="Arimo" w:hAnsi="Arimo"/>
          <w:b/>
          <w:color w:val="167A55"/>
          <w:sz w:val="18"/>
        </w:rPr>
        <w:t>SOURCES AND HANDOFF</w:t>
      </w:r>
    </w:p>
    <w:p>
      <w:pPr>
        <w:pStyle w:val="Heading1"/>
      </w:pPr>
      <w:r>
        <w:t>References and project resources</w:t>
      </w:r>
    </w:p>
    <w:p>
      <w:pPr>
        <w:pStyle w:val="ListBullet"/>
        <w:spacing w:after="80"/>
      </w:pPr>
      <w:r>
        <w:rPr>
          <w:rFonts w:ascii="Arimo" w:hAnsi="Arimo"/>
          <w:color w:val="167A55"/>
          <w:sz w:val="19"/>
        </w:rPr>
        <w:t>https://biosphere2.org/about/about-biosphere-2</w:t>
      </w:r>
    </w:p>
    <w:p>
      <w:pPr>
        <w:pStyle w:val="ListBullet"/>
        <w:spacing w:after="80"/>
      </w:pPr>
      <w:r>
        <w:rPr>
          <w:rFonts w:ascii="Arimo" w:hAnsi="Arimo"/>
          <w:color w:val="167A55"/>
          <w:sz w:val="19"/>
        </w:rPr>
        <w:t>https://rainforest-virtual-proving-ground.bolt.linkpc.net/</w:t>
      </w:r>
    </w:p>
    <w:p>
      <w:pPr>
        <w:pStyle w:val="ListBullet"/>
        <w:spacing w:after="80"/>
      </w:pPr>
      <w:r>
        <w:rPr>
          <w:rFonts w:ascii="Arimo" w:hAnsi="Arimo"/>
          <w:color w:val="167A55"/>
          <w:sz w:val="19"/>
        </w:rPr>
        <w:t>https://fmi-standard.org/docs/main/</w:t>
      </w:r>
    </w:p>
    <w:p>
      <w:pPr>
        <w:pStyle w:val="ListBullet"/>
        <w:spacing w:after="80"/>
      </w:pPr>
      <w:r>
        <w:rPr>
          <w:rFonts w:ascii="Arimo" w:hAnsi="Arimo"/>
          <w:color w:val="167A55"/>
          <w:sz w:val="19"/>
        </w:rPr>
        <w:t>https://energyplus.net/</w:t>
      </w:r>
    </w:p>
    <w:p>
      <w:pPr>
        <w:pStyle w:val="ListBullet"/>
        <w:spacing w:after="80"/>
      </w:pPr>
      <w:r>
        <w:rPr>
          <w:rFonts w:ascii="Arimo" w:hAnsi="Arimo"/>
          <w:color w:val="167A55"/>
          <w:sz w:val="19"/>
        </w:rPr>
        <w:t>https://simulationresearch.lbl.gov/modelica/</w:t>
      </w:r>
    </w:p>
    <w:p>
      <w:pPr>
        <w:pStyle w:val="ListBullet"/>
        <w:spacing w:after="80"/>
      </w:pPr>
      <w:r>
        <w:rPr>
          <w:rFonts w:ascii="Arimo" w:hAnsi="Arimo"/>
          <w:color w:val="167A55"/>
          <w:sz w:val="19"/>
        </w:rPr>
        <w:t>https://ibpsa.github.io/project1-boptest/index.html</w:t>
      </w:r>
    </w:p>
    <w:p>
      <w:pPr>
        <w:pStyle w:val="ListBullet"/>
        <w:spacing w:after="80"/>
      </w:pPr>
      <w:r>
        <w:rPr>
          <w:rFonts w:ascii="Arimo" w:hAnsi="Arimo"/>
          <w:color w:val="167A55"/>
          <w:sz w:val="19"/>
        </w:rPr>
        <w:t>https://ibpsa.github.io/project1-boptest/docs-userguide/introduction.html</w:t>
      </w:r>
    </w:p>
    <w:p>
      <w:pPr>
        <w:pStyle w:val="ListBullet"/>
        <w:spacing w:after="80"/>
      </w:pPr>
      <w:r>
        <w:rPr>
          <w:rFonts w:ascii="Arimo" w:hAnsi="Arimo"/>
          <w:color w:val="167A55"/>
          <w:sz w:val="19"/>
        </w:rPr>
        <w:t>https://data.ashrae.org/standard140/</w:t>
      </w:r>
    </w:p>
    <w:p>
      <w:pPr>
        <w:pStyle w:val="ListBullet"/>
        <w:spacing w:after="80"/>
      </w:pPr>
      <w:r>
        <w:rPr>
          <w:rFonts w:ascii="Arimo" w:hAnsi="Arimo"/>
          <w:color w:val="167A55"/>
          <w:sz w:val="19"/>
        </w:rPr>
        <w:t>https://biosphere2.org/research/user-facility-information/energy-and-water</w:t>
      </w:r>
    </w:p>
    <w:p>
      <w:pPr>
        <w:pStyle w:val="Heading2"/>
      </w:pPr>
      <w:r>
        <w:t>Live illustrative interface</w:t>
      </w:r>
    </w:p>
    <w:p>
      <w:r>
        <w:rPr>
          <w:rFonts w:ascii="Arimo" w:hAnsi="Arimo"/>
          <w:color w:val="167A55"/>
          <w:sz w:val="20"/>
        </w:rPr>
        <w:t>https://rainforest-virtual-proving-ground.bolt.linkpc.net/</w:t>
      </w:r>
    </w:p>
    <w:p>
      <w:pPr>
        <w:spacing w:after="200"/>
      </w:pPr>
      <w:r>
        <w:t>Disclosure: the current interface demonstrates the strategy-upload and review workflow. Its scenario is illustrative and not yet generated by a validated causal model.</w:t>
      </w:r>
    </w:p>
    <w:p>
      <w:pPr>
        <w:pStyle w:val="Heading2"/>
      </w:pPr>
      <w:r>
        <w:t>Final sentence to memorize</w:t>
      </w:r>
    </w:p>
    <w:p>
      <w:r>
        <w:rPr>
          <w:rFonts w:ascii="Arimo" w:hAnsi="Arimo"/>
          <w:b/>
          <w:sz w:val="24"/>
        </w:rPr>
        <w:t>The proposed PoC would support existing climate-control research and give students a shared environment for testing and improving their projects.</w:t>
      </w:r>
    </w:p>
    <w:sectPr w:rsidR="00FC693F" w:rsidRPr="0006063C" w:rsidSect="00034616">
      <w:headerReference w:type="default" r:id="rId9"/>
      <w:footerReference w:type="default" r:id="rId10"/>
      <w:pgSz w:w="12240" w:h="15840"/>
      <w:pgMar w:top="893" w:right="1037" w:bottom="893" w:left="1037"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mo" w:hAnsi="Arimo"/>
        <w:color w:val="5E7068"/>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mo" w:hAnsi="Arimo"/>
        <w:b/>
        <w:color w:val="5E7068"/>
        <w:sz w:val="15"/>
      </w:rPr>
      <w:t>RAINFOREST VIRTUAL PROVING GROUND  /  SPEAKER 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6" w:lineRule="auto"/>
    </w:pPr>
    <w:rPr>
      <w:rFonts w:ascii="Arimo" w:hAnsi="Arimo"/>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Arimo" w:hAnsi="Arimo"/>
      <w:b/>
      <w:bCs/>
      <w:color w:val="111111"/>
      <w:sz w:val="40"/>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rimo" w:hAnsi="Arimo"/>
      <w:b/>
      <w:bCs/>
      <w:color w:val="111111"/>
      <w:sz w:val="28"/>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Arimo" w:hAnsi="Arimo"/>
      <w:b/>
      <w:bCs/>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mo" w:hAnsi="Arimo"/>
      <w:b/>
      <w:color w:val="111111"/>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Virtual Proving Ground for RainForest Climate Strategies — Speaker Script</dc:title>
  <dc:subject>Biosphere 2 RainForest Digital Twin Proof of Concept</dc:subject>
  <dc:creator>Dimitri Bolt</dc:creator>
  <cp:keywords>Biosphere 2, RainForest, digital twin, optimal control, simulator, speaker script</cp:keywords>
  <dc:description>generated by python-docx</dc:description>
  <cp:lastModifiedBy/>
  <cp:revision>1</cp:revision>
  <dcterms:created xsi:type="dcterms:W3CDTF">2013-12-23T23:15:00Z</dcterms:created>
  <dcterms:modified xsi:type="dcterms:W3CDTF">2013-12-23T23:15:00Z</dcterms:modified>
  <cp:category/>
</cp:coreProperties>
</file>