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pBdr>
          <w:bottom w:val="single" w:sz="24" w:space="1" w:color="2FAD79"/>
        </w:pBdr>
      </w:pPr>
    </w:p>
    <w:p>
      <w:pPr>
        <w:spacing w:before="360" w:after="200"/>
        <w:jc w:val="left"/>
      </w:pPr>
      <w:r>
        <w:rPr>
          <w:rFonts w:ascii="Arimo" w:hAnsi="Arimo"/>
          <w:b/>
          <w:color w:val="111111"/>
          <w:sz w:val="56"/>
        </w:rPr>
        <w:t>Virtual Proving Ground for RainForest Climate Strategies</w:t>
      </w:r>
    </w:p>
    <w:p>
      <w:pPr>
        <w:spacing w:after="400"/>
      </w:pPr>
      <w:r>
        <w:rPr>
          <w:rFonts w:ascii="Arimo" w:hAnsi="Arimo"/>
          <w:color w:val="5E7068"/>
          <w:sz w:val="30"/>
        </w:rPr>
        <w:t>Speaker script, delivery cues, and prepared Q&amp;A</w:t>
      </w:r>
    </w:p>
    <w:p>
      <w:pPr>
        <w:jc w:val="center"/>
      </w:pPr>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app_initial.png"/>
                    <pic:cNvPicPr/>
                  </pic:nvPicPr>
                  <pic:blipFill>
                    <a:blip r:embed="rId11"/>
                    <a:stretch>
                      <a:fillRect/>
                    </a:stretch>
                  </pic:blipFill>
                  <pic:spPr>
                    <a:xfrm>
                      <a:off x="0" y="0"/>
                      <a:ext cx="6400800" cy="3600450"/>
                    </a:xfrm>
                    <a:prstGeom prst="rect"/>
                  </pic:spPr>
                </pic:pic>
              </a:graphicData>
            </a:graphic>
          </wp:inline>
        </w:drawing>
      </w:r>
    </w:p>
    <w:p>
      <w:pPr>
        <w:spacing w:before="320" w:after="40"/>
      </w:pPr>
      <w:r>
        <w:rPr>
          <w:rFonts w:ascii="Arimo" w:hAnsi="Arimo"/>
          <w:b/>
          <w:color w:val="111111"/>
          <w:sz w:val="24"/>
        </w:rPr>
        <w:t>Dimitri Bolt</w:t>
      </w:r>
    </w:p>
    <w:p>
      <w:pPr>
        <w:spacing w:after="200"/>
      </w:pPr>
      <w:r>
        <w:rPr>
          <w:rFonts w:ascii="Arimo" w:hAnsi="Arimo"/>
          <w:color w:val="5E7068"/>
          <w:sz w:val="21"/>
        </w:rPr>
        <w:t>Academic supervision: Dr. Ildar Gabitov</w:t>
      </w:r>
    </w:p>
    <w:tbl>
      <w:tblPr>
        <w:tblW w:type="auto" w:w="0"/>
        <w:jc w:val="left"/>
        <w:tblLayout w:type="fixed"/>
        <w:tblLook w:firstColumn="1" w:firstRow="1" w:lastColumn="0" w:lastRow="0" w:noHBand="0" w:noVBand="1" w:val="04A0"/>
      </w:tblPr>
      <w:tblGrid>
        <w:gridCol w:w="3024"/>
        <w:gridCol w:w="7056"/>
      </w:tblGrid>
      <w:tr>
        <w:tc>
          <w:tcPr>
            <w:tcW w:type="dxa" w:w="5083"/>
            <w:shd w:fill="EAF5EF"/>
            <w:tcMar>
              <w:top w:w="70" w:type="dxa"/>
              <w:start w:w="100" w:type="dxa"/>
              <w:bottom w:w="70" w:type="dxa"/>
              <w:end w:w="100" w:type="dxa"/>
            </w:tcMar>
            <w:vAlign w:val="center"/>
            <w:tcBorders>
              <w:bottom w:val="single" w:sz="4" w:color="FFFFFF"/>
            </w:tcBorders>
          </w:tcPr>
          <w:p>
            <w:r>
              <w:rPr>
                <w:rFonts w:ascii="Arimo" w:hAnsi="Arimo"/>
                <w:b/>
                <w:sz w:val="19"/>
              </w:rPr>
              <w:t>Target</w:t>
            </w:r>
          </w:p>
        </w:tc>
        <w:tc>
          <w:tcPr>
            <w:tcW w:type="dxa" w:w="5083"/>
            <w:shd w:fill="F4F7F3"/>
            <w:tcMar>
              <w:top w:w="70" w:type="dxa"/>
              <w:start w:w="100" w:type="dxa"/>
              <w:bottom w:w="70" w:type="dxa"/>
              <w:end w:w="100" w:type="dxa"/>
            </w:tcMar>
            <w:vAlign w:val="center"/>
            <w:tcBorders>
              <w:bottom w:val="single" w:sz="4" w:color="FFFFFF"/>
            </w:tcBorders>
          </w:tcPr>
          <w:p>
            <w:r>
              <w:rPr>
                <w:rFonts w:ascii="Arimo" w:hAnsi="Arimo"/>
                <w:sz w:val="19"/>
              </w:rPr>
              <w:t>18–20 minutes; scripted maximum 19:35</w:t>
            </w:r>
          </w:p>
        </w:tc>
      </w:tr>
      <w:tr>
        <w:tc>
          <w:tcPr>
            <w:tcW w:type="dxa" w:w="3024"/>
            <w:shd w:fill="EAF5EF"/>
            <w:tcMar>
              <w:top w:w="70" w:type="dxa"/>
              <w:start w:w="100" w:type="dxa"/>
              <w:bottom w:w="70" w:type="dxa"/>
              <w:end w:w="100" w:type="dxa"/>
            </w:tcMar>
            <w:vAlign w:val="center"/>
            <w:tcBorders>
              <w:bottom w:val="single" w:sz="4" w:color="FFFFFF"/>
            </w:tcBorders>
          </w:tcPr>
          <w:p>
            <w:r>
              <w:rPr>
                <w:rFonts w:ascii="Arimo" w:hAnsi="Arimo"/>
                <w:b/>
                <w:sz w:val="19"/>
              </w:rPr>
              <w:t>Audience</w:t>
            </w:r>
          </w:p>
        </w:tc>
        <w:tc>
          <w:tcPr>
            <w:tcW w:type="dxa" w:w="7056"/>
            <w:shd w:fill="F4F7F3"/>
            <w:tcMar>
              <w:top w:w="70" w:type="dxa"/>
              <w:start w:w="100" w:type="dxa"/>
              <w:bottom w:w="70" w:type="dxa"/>
              <w:end w:w="100" w:type="dxa"/>
            </w:tcMar>
            <w:vAlign w:val="center"/>
            <w:tcBorders>
              <w:bottom w:val="single" w:sz="4" w:color="FFFFFF"/>
            </w:tcBorders>
          </w:tcPr>
          <w:p>
            <w:r>
              <w:rPr>
                <w:rFonts w:ascii="Arimo" w:hAnsi="Arimo"/>
                <w:sz w:val="19"/>
              </w:rPr>
              <w:t>Biosphere 2 leadership</w:t>
            </w:r>
          </w:p>
        </w:tc>
      </w:tr>
      <w:tr>
        <w:tc>
          <w:tcPr>
            <w:tcW w:type="dxa" w:w="3024"/>
            <w:shd w:fill="EAF5EF"/>
            <w:tcMar>
              <w:top w:w="70" w:type="dxa"/>
              <w:start w:w="100" w:type="dxa"/>
              <w:bottom w:w="70" w:type="dxa"/>
              <w:end w:w="100" w:type="dxa"/>
            </w:tcMar>
            <w:vAlign w:val="center"/>
            <w:tcBorders>
              <w:bottom w:val="single" w:sz="4" w:color="FFFFFF"/>
            </w:tcBorders>
          </w:tcPr>
          <w:p>
            <w:r>
              <w:rPr>
                <w:rFonts w:ascii="Arimo" w:hAnsi="Arimo"/>
                <w:b/>
                <w:sz w:val="19"/>
              </w:rPr>
              <w:t>Decision</w:t>
            </w:r>
          </w:p>
        </w:tc>
        <w:tc>
          <w:tcPr>
            <w:tcW w:type="dxa" w:w="7056"/>
            <w:shd w:fill="F4F7F3"/>
            <w:tcMar>
              <w:top w:w="70" w:type="dxa"/>
              <w:start w:w="100" w:type="dxa"/>
              <w:bottom w:w="70" w:type="dxa"/>
              <w:end w:w="100" w:type="dxa"/>
            </w:tcMar>
            <w:vAlign w:val="center"/>
            <w:tcBorders>
              <w:bottom w:val="single" w:sz="4" w:color="FFFFFF"/>
            </w:tcBorders>
          </w:tcPr>
          <w:p>
            <w:r>
              <w:rPr>
                <w:rFonts w:ascii="Arimo" w:hAnsi="Arimo"/>
                <w:sz w:val="19"/>
              </w:rPr>
              <w:t>Approve a scoped 16-week offline Proof of Concept</w:t>
            </w:r>
          </w:p>
        </w:tc>
      </w:tr>
      <w:tr>
        <w:tc>
          <w:tcPr>
            <w:tcW w:type="dxa" w:w="3024"/>
            <w:shd w:fill="EAF5EF"/>
            <w:tcMar>
              <w:top w:w="70" w:type="dxa"/>
              <w:start w:w="100" w:type="dxa"/>
              <w:bottom w:w="70" w:type="dxa"/>
              <w:end w:w="100" w:type="dxa"/>
            </w:tcMar>
            <w:vAlign w:val="center"/>
            <w:tcBorders>
              <w:bottom w:val="single" w:sz="4" w:color="FFFFFF"/>
            </w:tcBorders>
          </w:tcPr>
          <w:p>
            <w:r>
              <w:rPr>
                <w:rFonts w:ascii="Arimo" w:hAnsi="Arimo"/>
                <w:b/>
                <w:sz w:val="19"/>
              </w:rPr>
              <w:t>Demo status</w:t>
            </w:r>
          </w:p>
        </w:tc>
        <w:tc>
          <w:tcPr>
            <w:tcW w:type="dxa" w:w="7056"/>
            <w:shd w:fill="F4F7F3"/>
            <w:tcMar>
              <w:top w:w="70" w:type="dxa"/>
              <w:start w:w="100" w:type="dxa"/>
              <w:bottom w:w="70" w:type="dxa"/>
              <w:end w:w="100" w:type="dxa"/>
            </w:tcMar>
            <w:vAlign w:val="center"/>
            <w:tcBorders>
              <w:bottom w:val="single" w:sz="4" w:color="FFFFFF"/>
            </w:tcBorders>
          </w:tcPr>
          <w:p>
            <w:r>
              <w:rPr>
                <w:rFonts w:ascii="Arimo" w:hAnsi="Arimo"/>
                <w:sz w:val="19"/>
              </w:rPr>
              <w:t>Illustrative workflow; not yet model-generated</w:t>
            </w:r>
          </w:p>
        </w:tc>
      </w:tr>
    </w:tbl>
    <w:p>
      <w:pPr>
        <w:spacing w:before="200"/>
        <w:jc w:val="center"/>
      </w:pPr>
      <w:r>
        <w:rPr>
          <w:rFonts w:ascii="Arimo" w:hAnsi="Arimo"/>
          <w:color w:val="167A55"/>
          <w:sz w:val="19"/>
        </w:rPr>
        <w:t>https://rainforest-virtual-proving-ground.bolt.linkpc.net/</w:t>
      </w:r>
    </w:p>
    <w:p>
      <w:pPr>
        <w:pageBreakBefore/>
        <w:spacing w:after="60"/>
      </w:pPr>
      <w:r>
        <w:rPr>
          <w:rFonts w:ascii="Arimo" w:hAnsi="Arimo"/>
          <w:b/>
          <w:color w:val="167A55"/>
          <w:sz w:val="18"/>
        </w:rPr>
        <w:t>ONE-PAGE MEMORY MAP</w:t>
      </w:r>
    </w:p>
    <w:p>
      <w:pPr>
        <w:pStyle w:val="Heading1"/>
      </w:pPr>
      <w:r>
        <w:t>The story in six beats</w:t>
      </w:r>
    </w:p>
    <w:p>
      <w:pPr>
        <w:spacing w:after="200"/>
      </w:pPr>
      <w:r>
        <w:rPr>
          <w:rFonts w:ascii="Arimo" w:hAnsi="Arimo"/>
          <w:b/>
          <w:sz w:val="23"/>
        </w:rPr>
        <w:t>Thesis: a shared simulation environment would support existing climate-control research and help students test, understand, and improve their projects.</w:t>
      </w:r>
    </w:p>
    <w:tbl>
      <w:tblPr>
        <w:tblW w:type="auto" w:w="0"/>
        <w:jc w:val="center"/>
        <w:tblLayout w:type="fixed"/>
        <w:tblLook w:firstColumn="1" w:firstRow="1" w:lastColumn="0" w:lastRow="0" w:noHBand="0" w:noVBand="1" w:val="04A0"/>
      </w:tblPr>
      <w:tblGrid>
        <w:gridCol w:w="3389"/>
        <w:gridCol w:w="3389"/>
        <w:gridCol w:w="3389"/>
      </w:tblGrid>
      <w:tr>
        <w:tc>
          <w:tcPr>
            <w:tcW w:type="dxa" w:w="835"/>
            <w:tcMar>
              <w:top w:w="85" w:type="dxa"/>
              <w:start w:w="90" w:type="dxa"/>
              <w:bottom w:w="85" w:type="dxa"/>
              <w:end w:w="90" w:type="dxa"/>
            </w:tcMar>
            <w:vAlign w:val="center"/>
            <w:tcBorders>
              <w:bottom w:val="single" w:sz="5" w:color="C9D9CF"/>
            </w:tcBorders>
            <w:shd w:fill="167A55"/>
          </w:tcPr>
          <w:p>
            <w:pPr>
              <w:jc w:val="center"/>
            </w:pPr>
            <w:r>
              <w:rPr>
                <w:rFonts w:ascii="Arimo" w:hAnsi="Arimo"/>
                <w:b/>
                <w:color w:val="FFFFFF"/>
                <w:sz w:val="22"/>
              </w:rPr>
              <w:t>01</w:t>
            </w:r>
          </w:p>
        </w:tc>
        <w:tc>
          <w:tcPr>
            <w:tcW w:type="dxa" w:w="1656"/>
            <w:tcMar>
              <w:top w:w="85" w:type="dxa"/>
              <w:start w:w="90" w:type="dxa"/>
              <w:bottom w:w="85" w:type="dxa"/>
              <w:end w:w="90" w:type="dxa"/>
            </w:tcMar>
            <w:vAlign w:val="center"/>
            <w:tcBorders>
              <w:bottom w:val="single" w:sz="5" w:color="C9D9CF"/>
            </w:tcBorders>
            <w:shd w:fill="EAF5EF"/>
          </w:tcPr>
          <w:p>
            <w:r>
              <w:rPr>
                <w:rFonts w:ascii="Arimo" w:hAnsi="Arimo"/>
                <w:b/>
                <w:sz w:val="20"/>
              </w:rPr>
              <w:t>Research support</w:t>
            </w:r>
          </w:p>
        </w:tc>
        <w:tc>
          <w:tcPr>
            <w:tcW w:type="dxa" w:w="7560"/>
            <w:tcMar>
              <w:top w:w="85" w:type="dxa"/>
              <w:start w:w="90" w:type="dxa"/>
              <w:bottom w:w="85" w:type="dxa"/>
              <w:end w:w="90" w:type="dxa"/>
            </w:tcMar>
            <w:vAlign w:val="center"/>
            <w:tcBorders>
              <w:bottom w:val="single" w:sz="5" w:color="C9D9CF"/>
            </w:tcBorders>
            <w:shd w:fill="EAF5EF"/>
          </w:tcPr>
          <w:p>
            <w:r>
              <w:rPr>
                <w:rFonts w:ascii="Arimo" w:hAnsi="Arimo"/>
                <w:sz w:val="19"/>
              </w:rPr>
              <w:t>Existing research groups bring strategies and questions for additional scenario testing alongside their own analyses.</w:t>
            </w:r>
          </w:p>
        </w:tc>
      </w:tr>
      <w:tr>
        <w:tc>
          <w:tcPr>
            <w:tcW w:type="dxa" w:w="835"/>
            <w:tcMar>
              <w:top w:w="85" w:type="dxa"/>
              <w:start w:w="90" w:type="dxa"/>
              <w:bottom w:w="85" w:type="dxa"/>
              <w:end w:w="90" w:type="dxa"/>
            </w:tcMar>
            <w:vAlign w:val="center"/>
            <w:tcBorders>
              <w:bottom w:val="single" w:sz="5" w:color="C9D9CF"/>
            </w:tcBorders>
            <w:shd w:fill="167A55"/>
          </w:tcPr>
          <w:p>
            <w:pPr>
              <w:jc w:val="center"/>
            </w:pPr>
            <w:r>
              <w:rPr>
                <w:rFonts w:ascii="Arimo" w:hAnsi="Arimo"/>
                <w:b/>
                <w:color w:val="FFFFFF"/>
                <w:sz w:val="22"/>
              </w:rPr>
              <w:t>02</w:t>
            </w:r>
          </w:p>
        </w:tc>
        <w:tc>
          <w:tcPr>
            <w:tcW w:type="dxa" w:w="1656"/>
            <w:tcMar>
              <w:top w:w="85" w:type="dxa"/>
              <w:start w:w="90" w:type="dxa"/>
              <w:bottom w:w="85" w:type="dxa"/>
              <w:end w:w="90" w:type="dxa"/>
            </w:tcMar>
            <w:vAlign w:val="center"/>
            <w:tcBorders>
              <w:bottom w:val="single" w:sz="5" w:color="C9D9CF"/>
            </w:tcBorders>
            <w:shd w:fill="F4F7F3"/>
          </w:tcPr>
          <w:p>
            <w:r>
              <w:rPr>
                <w:rFonts w:ascii="Arimo" w:hAnsi="Arimo"/>
                <w:b/>
                <w:sz w:val="20"/>
              </w:rPr>
              <w:t>Scenario models</w:t>
            </w:r>
          </w:p>
        </w:tc>
        <w:tc>
          <w:tcPr>
            <w:tcW w:type="dxa" w:w="7560"/>
            <w:tcMar>
              <w:top w:w="85" w:type="dxa"/>
              <w:start w:w="90" w:type="dxa"/>
              <w:bottom w:w="85" w:type="dxa"/>
              <w:end w:w="90" w:type="dxa"/>
            </w:tcMar>
            <w:vAlign w:val="center"/>
            <w:tcBorders>
              <w:bottom w:val="single" w:sz="5" w:color="C9D9CF"/>
            </w:tcBorders>
            <w:shd w:fill="F4F7F3"/>
          </w:tcPr>
          <w:p>
            <w:r>
              <w:rPr>
                <w:rFonts w:ascii="Arimo" w:hAnsi="Arimo"/>
                <w:sz w:val="19"/>
              </w:rPr>
              <w:t>Forward models estimate the response of 36 climate channels to 64 controls, with explicit assumptions and validation limits.</w:t>
            </w:r>
          </w:p>
        </w:tc>
      </w:tr>
      <w:tr>
        <w:tc>
          <w:tcPr>
            <w:tcW w:type="dxa" w:w="835"/>
            <w:tcMar>
              <w:top w:w="85" w:type="dxa"/>
              <w:start w:w="90" w:type="dxa"/>
              <w:bottom w:w="85" w:type="dxa"/>
              <w:end w:w="90" w:type="dxa"/>
            </w:tcMar>
            <w:vAlign w:val="center"/>
            <w:tcBorders>
              <w:bottom w:val="single" w:sz="5" w:color="C9D9CF"/>
            </w:tcBorders>
            <w:shd w:fill="E69B3A"/>
          </w:tcPr>
          <w:p>
            <w:pPr>
              <w:jc w:val="center"/>
            </w:pPr>
            <w:r>
              <w:rPr>
                <w:rFonts w:ascii="Arimo" w:hAnsi="Arimo"/>
                <w:b/>
                <w:color w:val="FFFFFF"/>
                <w:sz w:val="22"/>
              </w:rPr>
              <w:t>03</w:t>
            </w:r>
          </w:p>
        </w:tc>
        <w:tc>
          <w:tcPr>
            <w:tcW w:type="dxa" w:w="1656"/>
            <w:tcMar>
              <w:top w:w="85" w:type="dxa"/>
              <w:start w:w="90" w:type="dxa"/>
              <w:bottom w:w="85" w:type="dxa"/>
              <w:end w:w="90" w:type="dxa"/>
            </w:tcMar>
            <w:vAlign w:val="center"/>
            <w:tcBorders>
              <w:bottom w:val="single" w:sz="5" w:color="C9D9CF"/>
            </w:tcBorders>
            <w:shd w:fill="EAF5EF"/>
          </w:tcPr>
          <w:p>
            <w:r>
              <w:rPr>
                <w:rFonts w:ascii="Arimo" w:hAnsi="Arimo"/>
                <w:b/>
                <w:sz w:val="20"/>
              </w:rPr>
              <w:t>Proving ground</w:t>
            </w:r>
          </w:p>
        </w:tc>
        <w:tc>
          <w:tcPr>
            <w:tcW w:type="dxa" w:w="7560"/>
            <w:tcMar>
              <w:top w:w="85" w:type="dxa"/>
              <w:start w:w="90" w:type="dxa"/>
              <w:bottom w:w="85" w:type="dxa"/>
              <w:end w:w="90" w:type="dxa"/>
            </w:tcMar>
            <w:vAlign w:val="center"/>
            <w:tcBorders>
              <w:bottom w:val="single" w:sz="5" w:color="C9D9CF"/>
            </w:tcBorders>
            <w:shd w:fill="EAF5EF"/>
          </w:tcPr>
          <w:p>
            <w:r>
              <w:rPr>
                <w:rFonts w:ascii="Arimo" w:hAnsi="Arimo"/>
                <w:sz w:val="19"/>
              </w:rPr>
              <w:t>Load a timestamped strategy, replay it offline, score it, preserve the evidence, and keep operators in control.</w:t>
            </w:r>
          </w:p>
        </w:tc>
      </w:tr>
      <w:tr>
        <w:tc>
          <w:tcPr>
            <w:tcW w:type="dxa" w:w="835"/>
            <w:tcMar>
              <w:top w:w="85" w:type="dxa"/>
              <w:start w:w="90" w:type="dxa"/>
              <w:bottom w:w="85" w:type="dxa"/>
              <w:end w:w="90" w:type="dxa"/>
            </w:tcMar>
            <w:vAlign w:val="center"/>
            <w:tcBorders>
              <w:bottom w:val="single" w:sz="5" w:color="C9D9CF"/>
            </w:tcBorders>
            <w:shd w:fill="167A55"/>
          </w:tcPr>
          <w:p>
            <w:pPr>
              <w:jc w:val="center"/>
            </w:pPr>
            <w:r>
              <w:rPr>
                <w:rFonts w:ascii="Arimo" w:hAnsi="Arimo"/>
                <w:b/>
                <w:color w:val="FFFFFF"/>
                <w:sz w:val="22"/>
              </w:rPr>
              <w:t>04</w:t>
            </w:r>
          </w:p>
        </w:tc>
        <w:tc>
          <w:tcPr>
            <w:tcW w:type="dxa" w:w="1656"/>
            <w:tcMar>
              <w:top w:w="85" w:type="dxa"/>
              <w:start w:w="90" w:type="dxa"/>
              <w:bottom w:w="85" w:type="dxa"/>
              <w:end w:w="90" w:type="dxa"/>
            </w:tcMar>
            <w:vAlign w:val="center"/>
            <w:tcBorders>
              <w:bottom w:val="single" w:sz="5" w:color="C9D9CF"/>
            </w:tcBorders>
            <w:shd w:fill="F4F7F3"/>
          </w:tcPr>
          <w:p>
            <w:r>
              <w:rPr>
                <w:rFonts w:ascii="Arimo" w:hAnsi="Arimo"/>
                <w:b/>
                <w:sz w:val="20"/>
              </w:rPr>
              <w:t>Modular science</w:t>
            </w:r>
          </w:p>
        </w:tc>
        <w:tc>
          <w:tcPr>
            <w:tcW w:type="dxa" w:w="7560"/>
            <w:tcMar>
              <w:top w:w="85" w:type="dxa"/>
              <w:start w:w="90" w:type="dxa"/>
              <w:bottom w:w="85" w:type="dxa"/>
              <w:end w:w="90" w:type="dxa"/>
            </w:tcMar>
            <w:vAlign w:val="center"/>
            <w:tcBorders>
              <w:bottom w:val="single" w:sz="5" w:color="C9D9CF"/>
            </w:tcBorders>
            <w:shd w:fill="F4F7F3"/>
          </w:tcPr>
          <w:p>
            <w:r>
              <w:rPr>
                <w:rFonts w:ascii="Arimo" w:hAnsi="Arimo"/>
                <w:sz w:val="19"/>
              </w:rPr>
              <w:t>Benchmark gray-box, temporal ML, physics, and hybrid engines behind one stable contract.</w:t>
            </w:r>
          </w:p>
        </w:tc>
      </w:tr>
      <w:tr>
        <w:tc>
          <w:tcPr>
            <w:tcW w:type="dxa" w:w="835"/>
            <w:tcMar>
              <w:top w:w="85" w:type="dxa"/>
              <w:start w:w="90" w:type="dxa"/>
              <w:bottom w:w="85" w:type="dxa"/>
              <w:end w:w="90" w:type="dxa"/>
            </w:tcMar>
            <w:vAlign w:val="center"/>
            <w:tcBorders>
              <w:bottom w:val="single" w:sz="5" w:color="C9D9CF"/>
            </w:tcBorders>
            <w:shd w:fill="167A55"/>
          </w:tcPr>
          <w:p>
            <w:pPr>
              <w:jc w:val="center"/>
            </w:pPr>
            <w:r>
              <w:rPr>
                <w:rFonts w:ascii="Arimo" w:hAnsi="Arimo"/>
                <w:b/>
                <w:color w:val="FFFFFF"/>
                <w:sz w:val="22"/>
              </w:rPr>
              <w:t>05</w:t>
            </w:r>
          </w:p>
        </w:tc>
        <w:tc>
          <w:tcPr>
            <w:tcW w:type="dxa" w:w="1656"/>
            <w:tcMar>
              <w:top w:w="85" w:type="dxa"/>
              <w:start w:w="90" w:type="dxa"/>
              <w:bottom w:w="85" w:type="dxa"/>
              <w:end w:w="90" w:type="dxa"/>
            </w:tcMar>
            <w:vAlign w:val="center"/>
            <w:tcBorders>
              <w:bottom w:val="single" w:sz="5" w:color="C9D9CF"/>
            </w:tcBorders>
            <w:shd w:fill="EAF5EF"/>
          </w:tcPr>
          <w:p>
            <w:r>
              <w:rPr>
                <w:rFonts w:ascii="Arimo" w:hAnsi="Arimo"/>
                <w:b/>
                <w:sz w:val="20"/>
              </w:rPr>
              <w:t>Student learning</w:t>
            </w:r>
          </w:p>
        </w:tc>
        <w:tc>
          <w:tcPr>
            <w:tcW w:type="dxa" w:w="7560"/>
            <w:tcMar>
              <w:top w:w="85" w:type="dxa"/>
              <w:start w:w="90" w:type="dxa"/>
              <w:bottom w:w="85" w:type="dxa"/>
              <w:end w:w="90" w:type="dxa"/>
            </w:tcMar>
            <w:vAlign w:val="center"/>
            <w:tcBorders>
              <w:bottom w:val="single" w:sz="5" w:color="C9D9CF"/>
            </w:tcBorders>
            <w:shd w:fill="EAF5EF"/>
          </w:tcPr>
          <w:p>
            <w:r>
              <w:rPr>
                <w:rFonts w:ascii="Arimo" w:hAnsi="Arimo"/>
                <w:sz w:val="19"/>
              </w:rPr>
              <w:t>Students test their projects, interpret results with faculty feedback, and refine their designs. Research events can extend this learning.</w:t>
            </w:r>
          </w:p>
        </w:tc>
      </w:tr>
      <w:tr>
        <w:tc>
          <w:tcPr>
            <w:tcW w:type="dxa" w:w="835"/>
            <w:tcMar>
              <w:top w:w="85" w:type="dxa"/>
              <w:start w:w="90" w:type="dxa"/>
              <w:bottom w:w="85" w:type="dxa"/>
              <w:end w:w="90" w:type="dxa"/>
            </w:tcMar>
            <w:vAlign w:val="center"/>
            <w:tcBorders>
              <w:bottom w:val="single" w:sz="5" w:color="C9D9CF"/>
            </w:tcBorders>
            <w:shd w:fill="E69B3A"/>
          </w:tcPr>
          <w:p>
            <w:pPr>
              <w:jc w:val="center"/>
            </w:pPr>
            <w:r>
              <w:rPr>
                <w:rFonts w:ascii="Arimo" w:hAnsi="Arimo"/>
                <w:b/>
                <w:color w:val="FFFFFF"/>
                <w:sz w:val="22"/>
              </w:rPr>
              <w:t>06</w:t>
            </w:r>
          </w:p>
        </w:tc>
        <w:tc>
          <w:tcPr>
            <w:tcW w:type="dxa" w:w="1656"/>
            <w:tcMar>
              <w:top w:w="85" w:type="dxa"/>
              <w:start w:w="90" w:type="dxa"/>
              <w:bottom w:w="85" w:type="dxa"/>
              <w:end w:w="90" w:type="dxa"/>
            </w:tcMar>
            <w:vAlign w:val="center"/>
            <w:tcBorders>
              <w:bottom w:val="single" w:sz="5" w:color="C9D9CF"/>
            </w:tcBorders>
            <w:shd w:fill="F4F7F3"/>
          </w:tcPr>
          <w:p>
            <w:r>
              <w:rPr>
                <w:rFonts w:ascii="Arimo" w:hAnsi="Arimo"/>
                <w:b/>
                <w:sz w:val="20"/>
              </w:rPr>
              <w:t>Decision</w:t>
            </w:r>
          </w:p>
        </w:tc>
        <w:tc>
          <w:tcPr>
            <w:tcW w:type="dxa" w:w="7560"/>
            <w:tcMar>
              <w:top w:w="85" w:type="dxa"/>
              <w:start w:w="90" w:type="dxa"/>
              <w:bottom w:w="85" w:type="dxa"/>
              <w:end w:w="90" w:type="dxa"/>
            </w:tcMar>
            <w:vAlign w:val="center"/>
            <w:tcBorders>
              <w:bottom w:val="single" w:sz="5" w:color="C9D9CF"/>
            </w:tcBorders>
            <w:shd w:fill="F4F7F3"/>
          </w:tcPr>
          <w:p>
            <w:r>
              <w:rPr>
                <w:rFonts w:ascii="Arimo" w:hAnsi="Arimo"/>
                <w:sz w:val="19"/>
              </w:rPr>
              <w:t>Approve a 16-week offline PoC with an operations liaison and synchronized data access.</w:t>
            </w:r>
          </w:p>
        </w:tc>
      </w:tr>
    </w:tbl>
    <w:p/>
    <w:p>
      <w:pPr>
        <w:pageBreakBefore w:val="0"/>
        <w:spacing w:after="60"/>
      </w:pPr>
      <w:r>
        <w:rPr>
          <w:rFonts w:ascii="Arimo" w:hAnsi="Arimo"/>
          <w:b/>
          <w:color w:val="E69B3A"/>
          <w:sz w:val="18"/>
        </w:rPr>
        <w:t>THREE PHRASES TO PRESERVE VERBATIM</w:t>
      </w:r>
    </w:p>
    <w:p>
      <w:pPr>
        <w:pStyle w:val="ListBullet"/>
        <w:spacing w:after="60"/>
      </w:pPr>
      <w:r>
        <w:t>This scenario is illustrative and not yet model-generated.</w:t>
      </w:r>
    </w:p>
    <w:p>
      <w:pPr>
        <w:pStyle w:val="ListBullet"/>
        <w:spacing w:after="60"/>
      </w:pPr>
      <w:r>
        <w:t>A prediction supports a decision. It does not grant operational authority.</w:t>
      </w:r>
    </w:p>
    <w:p>
      <w:pPr>
        <w:pStyle w:val="ListBullet"/>
        <w:spacing w:after="60"/>
      </w:pPr>
      <w:r>
        <w:t>No percentage or dollar savings figure should be claimed before calibrated evidence exists.</w:t>
      </w:r>
    </w:p>
    <w:p>
      <w:pPr>
        <w:pageBreakBefore/>
        <w:spacing w:after="60"/>
      </w:pPr>
      <w:r>
        <w:rPr>
          <w:rFonts w:ascii="Arimo" w:hAnsi="Arimo"/>
          <w:b/>
          <w:color w:val="167A55"/>
          <w:sz w:val="18"/>
        </w:rPr>
        <w:t>MAIN TALK  •  ACT 1 OF 6</w:t>
      </w:r>
    </w:p>
    <w:p>
      <w:pPr>
        <w:pStyle w:val="Heading1"/>
      </w:pPr>
      <w:r>
        <w:t>Act I — Supporting climate research</w:t>
      </w:r>
    </w:p>
    <w:p>
      <w:pPr>
        <w:pStyle w:val="Heading2"/>
        <w:spacing w:before="80"/>
      </w:pPr>
      <w:r>
        <w:t>Slide 1 — Virtual Proving Ground for RainForest Climate Strategies</w:t>
      </w:r>
    </w:p>
    <w:p>
      <w:pPr>
        <w:spacing w:after="60"/>
      </w:pPr>
      <w:r>
        <w:rPr>
          <w:rFonts w:ascii="Arimo" w:hAnsi="Arimo"/>
          <w:b/>
          <w:color w:val="167A55"/>
          <w:sz w:val="16"/>
        </w:rPr>
        <w:t>TIME  0:55   •   STAGE CUE  Acknowledge existing research. Introduce student learning, then the PoC request.</w:t>
      </w:r>
    </w:p>
    <w:p>
      <w:pPr>
        <w:keepNext/>
        <w:spacing w:after="60"/>
      </w:pPr>
      <w:r>
        <w:rPr>
          <w:rFonts w:ascii="Arimo" w:hAnsi="Arimo"/>
          <w:b/>
          <w:color w:val="5E7068"/>
          <w:sz w:val="17"/>
        </w:rPr>
        <w:t xml:space="preserve">On-screen anchor: </w:t>
      </w:r>
      <w:r>
        <w:rPr>
          <w:rFonts w:ascii="Arimo" w:hAnsi="Arimo"/>
          <w:color w:val="5E7068"/>
          <w:sz w:val="17"/>
        </w:rPr>
        <w:t>64 scheduled controls · 36 climate channels · Supporting climate research and student learning</w:t>
      </w:r>
    </w:p>
    <w:p>
      <w:pPr>
        <w:spacing w:after="80" w:line="250" w:lineRule="auto"/>
      </w:pPr>
      <w:r>
        <w:rPr>
          <w:rFonts w:ascii="Arimo" w:hAnsi="Arimo"/>
          <w:sz w:val="20"/>
        </w:rPr>
        <w:t>Research groups already develop climate-control strategies for Biosphere 2. I propose a shared simulation environment. It gives those teams another way to test scenarios. It also makes the results easier to reproduce. Students could use the same environment. They could test a project, read the results, and improve the design. The platform accepts a scheduled strategy with 64 control values. It predicts the response in 36 RainForest climate channels. Each result shows climate, energy, uncertainty, and operating limits. Strategy authors keep ownership of their methods. Biosphere 2 operations keeps authority over field studies. I am asking for a focused, offline, sixteen-week Proof of Concept.</w:t>
      </w:r>
    </w:p>
    <w:p>
      <w:pPr>
        <w:pStyle w:val="Heading2"/>
        <w:spacing w:before="80"/>
      </w:pPr>
      <w:r>
        <w:t>Slide 2 — Shared evaluation of climate strategies</w:t>
      </w:r>
    </w:p>
    <w:p>
      <w:pPr>
        <w:spacing w:after="60"/>
      </w:pPr>
      <w:r>
        <w:rPr>
          <w:rFonts w:ascii="Arimo" w:hAnsi="Arimo"/>
          <w:b/>
          <w:color w:val="167A55"/>
          <w:sz w:val="16"/>
        </w:rPr>
        <w:t>TIME  1:15   •   STAGE CUE  Trace the workflow. Describe additional testing alongside each team's evidence.</w:t>
      </w:r>
    </w:p>
    <w:p>
      <w:pPr>
        <w:keepNext/>
        <w:spacing w:after="60"/>
      </w:pPr>
      <w:r>
        <w:rPr>
          <w:rFonts w:ascii="Arimo" w:hAnsi="Arimo"/>
          <w:b/>
          <w:color w:val="5E7068"/>
          <w:sz w:val="17"/>
        </w:rPr>
        <w:t xml:space="preserve">On-screen anchor: </w:t>
      </w:r>
      <w:r>
        <w:rPr>
          <w:rFonts w:ascii="Arimo" w:hAnsi="Arimo"/>
          <w:color w:val="5E7068"/>
          <w:sz w:val="17"/>
        </w:rPr>
        <w:t>Strategies from research groups · Shared simulation scenarios · Results for team discussion</w:t>
      </w:r>
    </w:p>
    <w:p>
      <w:pPr>
        <w:spacing w:after="80" w:line="250" w:lineRule="auto"/>
      </w:pPr>
      <w:r>
        <w:rPr>
          <w:rFonts w:ascii="Arimo" w:hAnsi="Arimo"/>
          <w:sz w:val="20"/>
        </w:rPr>
        <w:t>This platform builds on climate-control research that is already underway. Research groups bring their own strategies and questions. Together with domain experts, they choose the scenarios. They choose the initial state, weather case, and performance measures. The simulator returns predicted trajectories and uncertainty. Teams discuss those results with their own models and evidence. The run record keeps the inputs and assumptions. That makes later comparisons easier to reproduce. Students use the same workflow for their projects. This is an extra tool for research and teaching. Each result applies only to the tested model and scenario. The model limits stay visible.</w:t>
      </w:r>
    </w:p>
    <w:p>
      <w:pPr>
        <w:pStyle w:val="Heading2"/>
        <w:spacing w:before="80"/>
      </w:pPr>
      <w:r>
        <w:t>Slide 3 — Forward models for scenario testing</w:t>
      </w:r>
    </w:p>
    <w:p>
      <w:pPr>
        <w:spacing w:after="60"/>
      </w:pPr>
      <w:r>
        <w:rPr>
          <w:rFonts w:ascii="Arimo" w:hAnsi="Arimo"/>
          <w:b/>
          <w:color w:val="167A55"/>
          <w:sz w:val="16"/>
        </w:rPr>
        <w:t>TIME  1:20   •   STAGE CUE  Read the symbols slowly: x-sub-k, u-sub-k, w-sub-k, F-theta. Do not derive the equation.</w:t>
      </w:r>
    </w:p>
    <w:p>
      <w:pPr>
        <w:keepNext/>
        <w:spacing w:after="60"/>
      </w:pPr>
      <w:r>
        <w:rPr>
          <w:rFonts w:ascii="Arimo" w:hAnsi="Arimo"/>
          <w:b/>
          <w:color w:val="5E7068"/>
          <w:sz w:val="17"/>
        </w:rPr>
        <w:t xml:space="preserve">On-screen anchor: </w:t>
      </w:r>
      <w:r>
        <w:rPr>
          <w:rFonts w:ascii="Arimo" w:hAnsi="Arimo"/>
          <w:color w:val="5E7068"/>
          <w:sz w:val="17"/>
        </w:rPr>
        <w:t>State: 36 temperature and humidity channels · Action: 64 absolute control values · Context: weather, time, prior state, operating mode</w:t>
      </w:r>
    </w:p>
    <w:p>
      <w:pPr>
        <w:spacing w:after="80" w:line="250" w:lineRule="auto"/>
      </w:pPr>
      <w:r>
        <w:rPr>
          <w:rFonts w:ascii="Arimo" w:hAnsi="Arimo"/>
          <w:sz w:val="20"/>
        </w:rPr>
        <w:t>This is the forward-simulation step. X at time k is the measured climate state. U at time k is the 64-value control vector. W at time k is weather and other context. The engine uses those three inputs to estimate the next climate state. That is x at time k plus one. The formula calls this engine F theta. F theta could be a gray-box model, temporal machine learning, physics, or a hybrid. A research group could also contribute its own model. Every engine states its assumptions and validation evidence. For the same inputs, we compare trajectories, uncertainty, constraint flags, and diagnostics.</w:t>
      </w:r>
    </w:p>
    <w:p>
      <w:pPr>
        <w:pStyle w:val="Heading2"/>
        <w:spacing w:before="80"/>
      </w:pPr>
      <w:r>
        <w:t>Slide 4 — Support for planning field studies</w:t>
      </w:r>
    </w:p>
    <w:p>
      <w:pPr>
        <w:spacing w:after="60"/>
      </w:pPr>
      <w:r>
        <w:rPr>
          <w:rFonts w:ascii="Arimo" w:hAnsi="Arimo"/>
          <w:b/>
          <w:color w:val="167A55"/>
          <w:sz w:val="16"/>
        </w:rPr>
        <w:t>TIME  1:05   •   STAGE CUE  Explain the facility context and joint planning by researchers and operators.</w:t>
      </w:r>
    </w:p>
    <w:p>
      <w:pPr>
        <w:keepNext/>
        <w:spacing w:after="60"/>
      </w:pPr>
      <w:r>
        <w:rPr>
          <w:rFonts w:ascii="Arimo" w:hAnsi="Arimo"/>
          <w:b/>
          <w:color w:val="5E7068"/>
          <w:sz w:val="17"/>
        </w:rPr>
        <w:t xml:space="preserve">On-screen anchor: </w:t>
      </w:r>
      <w:r>
        <w:rPr>
          <w:rFonts w:ascii="Arimo" w:hAnsi="Arimo"/>
          <w:color w:val="5E7068"/>
          <w:sz w:val="17"/>
        </w:rPr>
        <w:t>Climate responses include delays and equipment interactions · Researchers and operators define scenarios together · Biosphere 2 depends on continuous environmental support</w:t>
      </w:r>
    </w:p>
    <w:p>
      <w:pPr>
        <w:spacing w:after="80" w:line="250" w:lineRule="auto"/>
      </w:pPr>
      <w:r>
        <w:rPr>
          <w:rFonts w:ascii="Arimo" w:hAnsi="Arimo"/>
          <w:sz w:val="20"/>
        </w:rPr>
        <w:t>Offline testing can help researchers and operators plan field studies together. Climate responses have delays. Equipment and outdoor conditions also interact. Simulation gives the group one more way to examine those effects. It can inform operating limits and monitoring plans. Biosphere 2 uses twenty-six air handlers. It reports that a sunny-day power loss can damage biomes in about twenty minutes. Those facts describe the facility. They do not judge any strategy or research group. Our testbed stays offline. Researchers and operators would review its trajectories and uncertainty with other evidence. A field study would still need separate authorization.</w:t>
      </w:r>
    </w:p>
    <w:p>
      <w:pPr>
        <w:spacing w:before="40" w:after="160"/>
      </w:pPr>
      <w:r>
        <w:rPr>
          <w:rFonts w:ascii="Arimo" w:hAnsi="Arimo"/>
          <w:b/>
          <w:color w:val="5E7068"/>
          <w:sz w:val="17"/>
        </w:rPr>
        <w:t xml:space="preserve">Sources: </w:t>
      </w:r>
      <w:r>
        <w:rPr>
          <w:rFonts w:ascii="Arimo" w:hAnsi="Arimo"/>
          <w:color w:val="5E7068"/>
          <w:sz w:val="17"/>
        </w:rPr>
        <w:t>https://biosphere2.org/about/about-biosphere-2</w:t>
      </w:r>
    </w:p>
    <w:p>
      <w:pPr>
        <w:pageBreakBefore/>
        <w:spacing w:after="60"/>
      </w:pPr>
      <w:r>
        <w:rPr>
          <w:rFonts w:ascii="Arimo" w:hAnsi="Arimo"/>
          <w:b/>
          <w:color w:val="167A55"/>
          <w:sz w:val="18"/>
        </w:rPr>
        <w:t>MAIN TALK  •  ACT 2 OF 6</w:t>
      </w:r>
    </w:p>
    <w:p>
      <w:pPr>
        <w:pStyle w:val="Heading1"/>
      </w:pPr>
      <w:r>
        <w:t>Act II — What the proving ground does</w:t>
      </w:r>
    </w:p>
    <w:p>
      <w:pPr>
        <w:pStyle w:val="Heading2"/>
      </w:pPr>
      <w:r>
        <w:t>Slide 5 — Virtual Proving Ground architecture</w:t>
      </w:r>
    </w:p>
    <w:p>
      <w:pPr>
        <w:spacing w:after="80"/>
      </w:pPr>
      <w:r>
        <w:rPr>
          <w:rFonts w:ascii="Arimo" w:hAnsi="Arimo"/>
          <w:b/>
          <w:color w:val="167A55"/>
          <w:sz w:val="16"/>
        </w:rPr>
        <w:t>TIME  1:15   •   STAGE CUE  Trace the boxes left to right. Emphasize that strategy creation remains outside the platform.</w:t>
      </w:r>
    </w:p>
    <w:p>
      <w:pPr>
        <w:keepNext/>
        <w:spacing w:after="60"/>
      </w:pPr>
      <w:r>
        <w:rPr>
          <w:rFonts w:ascii="Arimo" w:hAnsi="Arimo"/>
          <w:b/>
          <w:color w:val="5E7068"/>
          <w:sz w:val="17"/>
        </w:rPr>
        <w:t xml:space="preserve">On-screen anchor: </w:t>
      </w:r>
      <w:r>
        <w:rPr>
          <w:rFonts w:ascii="Arimo" w:hAnsi="Arimo"/>
          <w:color w:val="5E7068"/>
          <w:sz w:val="17"/>
        </w:rPr>
        <w:t>Strategy file · Validation and scenario setup · Pluggable forward model</w:t>
      </w:r>
    </w:p>
    <w:p>
      <w:pPr>
        <w:spacing w:after="80" w:line="250" w:lineRule="auto"/>
      </w:pPr>
      <w:r>
        <w:rPr>
          <w:rFonts w:ascii="Arimo" w:hAnsi="Arimo"/>
          <w:sz w:val="20"/>
        </w:rPr>
        <w:t>This workflow has clear responsibilities. A student, researcher, or engineering team creates a strategy outside the platform. The strategy is a timestamped schedule of complete 64-value vectors. The platform checks units, bounds, timestamps, and missing values. It combines the schedule with an initial climate state and a scenario. The engine advances the 36-channel state through time. The evaluation layer reports climate error, energy, stability, constraints, and uncertainty. Authors and operators can inspect the result together. Strategy authors keep control of their methods. The platform does not generate or rewrite their submissions. The run record is versioned. Biosphere 2 operations retains authority over facility use.</w:t>
      </w:r>
    </w:p>
    <w:p>
      <w:pPr>
        <w:pStyle w:val="Heading2"/>
      </w:pPr>
      <w:r>
        <w:t>Slide 6 — Climate strategy contract</w:t>
      </w:r>
    </w:p>
    <w:p>
      <w:pPr>
        <w:spacing w:after="80"/>
      </w:pPr>
      <w:r>
        <w:rPr>
          <w:rFonts w:ascii="Arimo" w:hAnsi="Arimo"/>
          <w:b/>
          <w:color w:val="167A55"/>
          <w:sz w:val="16"/>
        </w:rPr>
        <w:t>TIME  1:05   •   STAGE CUE  Point to the timestamps and complete vectors. Stress deterministic replay.</w:t>
      </w:r>
    </w:p>
    <w:p>
      <w:pPr>
        <w:keepNext/>
        <w:spacing w:after="60"/>
      </w:pPr>
      <w:r>
        <w:rPr>
          <w:rFonts w:ascii="Arimo" w:hAnsi="Arimo"/>
          <w:b/>
          <w:color w:val="5E7068"/>
          <w:sz w:val="17"/>
        </w:rPr>
        <w:t xml:space="preserve">On-screen anchor: </w:t>
      </w:r>
      <w:r>
        <w:rPr>
          <w:rFonts w:ascii="Arimo" w:hAnsi="Arimo"/>
          <w:color w:val="5E7068"/>
          <w:sz w:val="17"/>
        </w:rPr>
        <w:t>u^{(1)}, u^{(2)}, …, u^{(N)} · Each u_k contains 64 absolute values · A value remains active until the next timestamp</w:t>
      </w:r>
    </w:p>
    <w:p>
      <w:pPr>
        <w:spacing w:after="80" w:line="250" w:lineRule="auto"/>
      </w:pPr>
      <w:r>
        <w:rPr>
          <w:rFonts w:ascii="Arimo" w:hAnsi="Arimo"/>
          <w:sz w:val="20"/>
        </w:rPr>
        <w:t>The strategy format is simple. At each timestamp, the file gives one complete vector of 64 absolute values. It includes fifteen temperature setpoints. It also includes seven fan commands and forty-two valve, damper, or related commands. Each value remains active until the next timestamp. Complete vectors remove ambiguity about inherited settings. They make every replay deterministic. The first version accepts JSON or CSV. Before simulation, the platform checks the schema, time order, units, ranges, and missing controls. This one format can hold output from PID, MPC, or reinforcement learning. We can compare algorithms without tying the platform to one method.</w:t>
      </w:r>
    </w:p>
    <w:p>
      <w:pPr>
        <w:pageBreakBefore/>
        <w:spacing w:after="60"/>
      </w:pPr>
      <w:r>
        <w:rPr>
          <w:rFonts w:ascii="Arimo" w:hAnsi="Arimo"/>
          <w:b/>
          <w:color w:val="167A55"/>
          <w:sz w:val="18"/>
        </w:rPr>
        <w:t>MAIN TALK  •  ACT 3 OF 6</w:t>
      </w:r>
    </w:p>
    <w:p>
      <w:pPr>
        <w:pStyle w:val="Heading1"/>
      </w:pPr>
      <w:r>
        <w:t>Act III — What the reviewer sees</w:t>
      </w:r>
    </w:p>
    <w:p>
      <w:pPr>
        <w:pStyle w:val="Heading2"/>
      </w:pPr>
      <w:r>
        <w:t>Slide 7 — Illustrative interface demonstration</w:t>
      </w:r>
    </w:p>
    <w:p>
      <w:pPr>
        <w:spacing w:after="80"/>
      </w:pPr>
      <w:r>
        <w:rPr>
          <w:rFonts w:ascii="Arimo" w:hAnsi="Arimo"/>
          <w:b/>
          <w:color w:val="E69B3A"/>
          <w:sz w:val="16"/>
        </w:rPr>
        <w:t>TIME  1:40   •   STAGE CUE  Start the 35-second video. Let it establish the interface, then explicitly repeat: illustrative, not model-generated.</w:t>
      </w:r>
    </w:p>
    <w:p>
      <w:pPr>
        <w:keepNext/>
        <w:spacing w:after="60"/>
      </w:pPr>
      <w:r>
        <w:rPr>
          <w:rFonts w:ascii="Arimo" w:hAnsi="Arimo"/>
          <w:b/>
          <w:color w:val="5E7068"/>
          <w:sz w:val="17"/>
        </w:rPr>
        <w:t xml:space="preserve">On-screen anchor: </w:t>
      </w:r>
      <w:r>
        <w:rPr>
          <w:rFonts w:ascii="Arimo" w:hAnsi="Arimo"/>
          <w:color w:val="5E7068"/>
          <w:sz w:val="17"/>
        </w:rPr>
        <w:t>Load a 64-control schedule · Replay five timestamps · Inspect the RainForest by sensor and metric</w:t>
      </w:r>
    </w:p>
    <w:p>
      <w:pPr>
        <w:spacing w:after="80" w:line="250" w:lineRule="auto"/>
      </w:pPr>
      <w:r>
        <w:rPr>
          <w:rFonts w:ascii="Arimo" w:hAnsi="Arimo"/>
          <w:sz w:val="20"/>
        </w:rPr>
        <w:t>This short demonstration shows the proposed workflow. On the left, the platform loads a strategy with five snapshots. Each snapshot has 64 absolute control values. In the center is a simplified RainForest model. This decision does not need survey-grade geometry. Four towers and eighteen measurement points explain the spatial structure. Each point has temperature and relative humidity. Together, that gives 36 climate channels. The timeline replays the scheduled controls. The user can choose temperature or humidity. They can select a point and inspect its trajectory. At the midpoint, the interface shows an illustrative constraint flag. It shows where an unsafe or undesirable trend would appear. The label is essential. This scenario is not yet model-generated. The interface demonstrates the workflow. Building and validating the causal engine is the work of the Proof of Concept.</w:t>
      </w:r>
    </w:p>
    <w:p>
      <w:pPr>
        <w:spacing w:before="40" w:after="160"/>
      </w:pPr>
      <w:r>
        <w:rPr>
          <w:rFonts w:ascii="Arimo" w:hAnsi="Arimo"/>
          <w:b/>
          <w:color w:val="5E7068"/>
          <w:sz w:val="17"/>
        </w:rPr>
        <w:t xml:space="preserve">Sources: </w:t>
      </w:r>
      <w:r>
        <w:rPr>
          <w:rFonts w:ascii="Arimo" w:hAnsi="Arimo"/>
          <w:color w:val="5E7068"/>
          <w:sz w:val="17"/>
        </w:rPr>
        <w:t>https://rainforest-virtual-proving-ground.bolt.linkpc.net/</w:t>
      </w:r>
    </w:p>
    <w:p>
      <w:pPr>
        <w:pStyle w:val="Heading2"/>
      </w:pPr>
      <w:r>
        <w:t>Slide 8 — Reading the simulation output</w:t>
      </w:r>
    </w:p>
    <w:p>
      <w:pPr>
        <w:spacing w:after="80"/>
      </w:pPr>
      <w:r>
        <w:rPr>
          <w:rFonts w:ascii="Arimo" w:hAnsi="Arimo"/>
          <w:b/>
          <w:color w:val="167A55"/>
          <w:sz w:val="16"/>
        </w:rPr>
        <w:t>TIME  1:15   •   STAGE CUE  Use the right-hand list. Point to the traceability sentence last.</w:t>
      </w:r>
    </w:p>
    <w:p>
      <w:pPr>
        <w:keepNext/>
        <w:spacing w:after="60"/>
      </w:pPr>
      <w:r>
        <w:rPr>
          <w:rFonts w:ascii="Arimo" w:hAnsi="Arimo"/>
          <w:b/>
          <w:color w:val="5E7068"/>
          <w:sz w:val="17"/>
        </w:rPr>
        <w:t xml:space="preserve">On-screen anchor: </w:t>
      </w:r>
      <w:r>
        <w:rPr>
          <w:rFonts w:ascii="Arimo" w:hAnsi="Arimo"/>
          <w:color w:val="5E7068"/>
          <w:sz w:val="17"/>
        </w:rPr>
        <w:t>Spatial response across four towers · Time series for a selected measurement point · Comfort and safety envelopes</w:t>
      </w:r>
    </w:p>
    <w:p>
      <w:pPr>
        <w:spacing w:after="80" w:line="250" w:lineRule="auto"/>
      </w:pPr>
      <w:r>
        <w:rPr>
          <w:rFonts w:ascii="Arimo" w:hAnsi="Arimo"/>
          <w:sz w:val="20"/>
        </w:rPr>
        <w:t>The interface helps teams read a simulation result. First, it shows all 36 climate channels. That reveals spatial differences across the towers and sensor heights. Second, it shows a time series for one selected point. That view includes targets and hard limits. Third, it shows climate, energy, and stability scores. Fourth, it shows uncertainty. The engine must say when a control combination or weather case is outside its evidence. Each warning needs a clear reason. A reviewer must be able to trace it to a channel, time, threshold, and input schedule. That supports team discussion. It also helps students understand their results. A flag applies to this simulation and its model assumptions.</w:t>
      </w:r>
    </w:p>
    <w:p>
      <w:pPr>
        <w:pStyle w:val="Heading2"/>
      </w:pPr>
      <w:r>
        <w:t>Slide 9 — Human approval and operational boundaries</w:t>
      </w:r>
    </w:p>
    <w:p>
      <w:pPr>
        <w:spacing w:after="80"/>
      </w:pPr>
      <w:r>
        <w:rPr>
          <w:rFonts w:ascii="Arimo" w:hAnsi="Arimo"/>
          <w:b/>
          <w:color w:val="167A55"/>
          <w:sz w:val="16"/>
        </w:rPr>
        <w:t>TIME  1:00   •   STAGE CUE  Point to the red barrier and say no write path clearly.</w:t>
      </w:r>
    </w:p>
    <w:p>
      <w:pPr>
        <w:keepNext/>
        <w:spacing w:after="60"/>
      </w:pPr>
      <w:r>
        <w:rPr>
          <w:rFonts w:ascii="Arimo" w:hAnsi="Arimo"/>
          <w:b/>
          <w:color w:val="5E7068"/>
          <w:sz w:val="17"/>
        </w:rPr>
        <w:t xml:space="preserve">On-screen anchor: </w:t>
      </w:r>
      <w:r>
        <w:rPr>
          <w:rFonts w:ascii="Arimo" w:hAnsi="Arimo"/>
          <w:color w:val="5E7068"/>
          <w:sz w:val="17"/>
        </w:rPr>
        <w:t>No direct connection to facility equipment · Hard bounds checked before simulation · Operator review before any field trial</w:t>
      </w:r>
    </w:p>
    <w:p>
      <w:pPr>
        <w:spacing w:after="80" w:line="250" w:lineRule="auto"/>
      </w:pPr>
      <w:r>
        <w:rPr>
          <w:rFonts w:ascii="Arimo" w:hAnsi="Arimo"/>
          <w:sz w:val="20"/>
        </w:rPr>
        <w:t>The Proof of Concept stays offline. It cannot write commands to Biosphere 2 equipment. Every strategy passes schema and bound checks before simulation. The system keeps the submitted file, model version, scenario, software version, and result. Another reviewer can then reproduce the run. A future field experiment needs a separate procedure. It needs a named operator, approved limits, rollback conditions, and explicit authorization. Model confidence does not grant operational authority. A prediction informs a decision. The people responsible for the facility still make that decision. The first milestone is evidence for review.</w:t>
      </w:r>
    </w:p>
    <w:p>
      <w:pPr>
        <w:pageBreakBefore/>
        <w:spacing w:after="60"/>
      </w:pPr>
      <w:r>
        <w:rPr>
          <w:rFonts w:ascii="Arimo" w:hAnsi="Arimo"/>
          <w:b/>
          <w:color w:val="167A55"/>
          <w:sz w:val="18"/>
        </w:rPr>
        <w:t>MAIN TALK  •  ACT 4 OF 6</w:t>
      </w:r>
    </w:p>
    <w:p>
      <w:pPr>
        <w:pStyle w:val="Heading1"/>
      </w:pPr>
      <w:r>
        <w:t>Act IV — How the science stays modular</w:t>
      </w:r>
    </w:p>
    <w:p>
      <w:pPr>
        <w:pStyle w:val="Heading2"/>
      </w:pPr>
      <w:r>
        <w:t>Slide 10 — Pluggable simulation engine</w:t>
      </w:r>
    </w:p>
    <w:p>
      <w:pPr>
        <w:spacing w:after="80"/>
      </w:pPr>
      <w:r>
        <w:rPr>
          <w:rFonts w:ascii="Arimo" w:hAnsi="Arimo"/>
          <w:b/>
          <w:color w:val="167A55"/>
          <w:sz w:val="16"/>
        </w:rPr>
        <w:t>TIME  1:15   •   STAGE CUE  Point to input, adapter, output, then the four candidate engine families.</w:t>
      </w:r>
    </w:p>
    <w:p>
      <w:pPr>
        <w:keepNext/>
        <w:spacing w:after="60"/>
      </w:pPr>
      <w:r>
        <w:rPr>
          <w:rFonts w:ascii="Arimo" w:hAnsi="Arimo"/>
          <w:b/>
          <w:color w:val="5E7068"/>
          <w:sz w:val="17"/>
        </w:rPr>
        <w:t xml:space="preserve">On-screen anchor: </w:t>
      </w:r>
      <w:r>
        <w:rPr>
          <w:rFonts w:ascii="Arimo" w:hAnsi="Arimo"/>
          <w:color w:val="5E7068"/>
          <w:sz w:val="17"/>
        </w:rPr>
        <w:t>Inputs: initial state, 64-control schedule, weather and context, horizon · Outputs: 36-channel trajectories, uncertainty, constraints, energy indicators, diagnostics · Model version and assumptions travel with every result</w:t>
      </w:r>
    </w:p>
    <w:p>
      <w:pPr>
        <w:spacing w:after="80" w:line="250" w:lineRule="auto"/>
      </w:pPr>
      <w:r>
        <w:rPr>
          <w:rFonts w:ascii="Arimo" w:hAnsi="Arimo"/>
          <w:sz w:val="20"/>
        </w:rPr>
        <w:t>A stable simulation contract lets research groups contribute different engines. Each engine receives the same inputs. Those are the initial 36-channel state, the 64-control schedule, context, and the simulation horizon. Each engine returns the same outputs. Those are predicted trajectories, uncertainty, constraint events, energy indicators, and diagnostics. One engine could be an LSTM trained on synchronized historical data. Another could be a state-space model with physical coefficients. An adapter could wrap EnergyPlus, Modelica, or a hybrid model. Teams can run one strategy through several engines. They can discuss the differences. Each model keeps its own assumptions, version, and attribution. The PoC evaluates candidates for its intended use.</w:t>
      </w:r>
    </w:p>
    <w:p>
      <w:pPr>
        <w:spacing w:before="40" w:after="160"/>
      </w:pPr>
      <w:r>
        <w:rPr>
          <w:rFonts w:ascii="Arimo" w:hAnsi="Arimo"/>
          <w:b/>
          <w:color w:val="5E7068"/>
          <w:sz w:val="17"/>
        </w:rPr>
        <w:t xml:space="preserve">Sources: </w:t>
      </w:r>
      <w:r>
        <w:rPr>
          <w:rFonts w:ascii="Arimo" w:hAnsi="Arimo"/>
          <w:color w:val="5E7068"/>
          <w:sz w:val="17"/>
        </w:rPr>
        <w:t>https://fmi-standard.org/docs/main/</w:t>
      </w:r>
    </w:p>
    <w:p>
      <w:pPr>
        <w:pStyle w:val="Heading2"/>
      </w:pPr>
      <w:r>
        <w:t>Slide 11 — Candidate forward-model families</w:t>
      </w:r>
    </w:p>
    <w:p>
      <w:pPr>
        <w:spacing w:after="80"/>
      </w:pPr>
      <w:r>
        <w:rPr>
          <w:rFonts w:ascii="Arimo" w:hAnsi="Arimo"/>
          <w:b/>
          <w:color w:val="167A55"/>
          <w:sz w:val="16"/>
        </w:rPr>
        <w:t>TIME  1:20   •   STAGE CUE  Move across the four columns. End with the simplest engine that passes the gates.</w:t>
      </w:r>
    </w:p>
    <w:p>
      <w:pPr>
        <w:keepNext/>
        <w:spacing w:after="60"/>
      </w:pPr>
      <w:r>
        <w:rPr>
          <w:rFonts w:ascii="Arimo" w:hAnsi="Arimo"/>
          <w:b/>
          <w:color w:val="5E7068"/>
          <w:sz w:val="17"/>
        </w:rPr>
        <w:t xml:space="preserve">On-screen anchor: </w:t>
      </w:r>
      <w:r>
        <w:rPr>
          <w:rFonts w:ascii="Arimo" w:hAnsi="Arimo"/>
          <w:color w:val="5E7068"/>
          <w:sz w:val="17"/>
        </w:rPr>
        <w:t>Gray-box state-space: interpretable dynamics and modest data needs · Temporal ML: flexible nonlinear response and delay modeling · Physics-based: explicit envelopes, HVAC components, and energy accounting</w:t>
      </w:r>
    </w:p>
    <w:p>
      <w:pPr>
        <w:spacing w:after="80" w:line="250" w:lineRule="auto"/>
      </w:pPr>
      <w:r>
        <w:rPr>
          <w:rFonts w:ascii="Arimo" w:hAnsi="Arimo"/>
          <w:sz w:val="20"/>
        </w:rPr>
        <w:t>The first benchmark can compare four model families. A gray-box state-space model has interpretable time constants. It can work with less data. It may miss complex nonlinear interactions. A temporal machine-learning model, such as an LSTM, can learn delays and nonlinear behavior. It needs synchronized controls, sensors, and context. It also needs careful out-of-distribution checks. A physics-based model in EnergyPlus or Modelica represents HVAC components and energy structure. Calibration for a unique biome can take substantial work. A hybrid model combines physical structure with learned residual behavior. The PoC does not assume one family will win. It sets test windows, error metrics, uncertainty checks, and computing requirements. Then it selects the simplest engine that meets the use case.</w:t>
      </w:r>
    </w:p>
    <w:p>
      <w:pPr>
        <w:spacing w:before="40" w:after="160"/>
      </w:pPr>
      <w:r>
        <w:rPr>
          <w:rFonts w:ascii="Arimo" w:hAnsi="Arimo"/>
          <w:b/>
          <w:color w:val="5E7068"/>
          <w:sz w:val="17"/>
        </w:rPr>
        <w:t xml:space="preserve">Sources: </w:t>
      </w:r>
      <w:r>
        <w:rPr>
          <w:rFonts w:ascii="Arimo" w:hAnsi="Arimo"/>
          <w:color w:val="5E7068"/>
          <w:sz w:val="17"/>
        </w:rPr>
        <w:t>https://energyplus.net/  |  https://simulationresearch.lbl.gov/modelica/</w:t>
      </w:r>
    </w:p>
    <w:p>
      <w:pPr>
        <w:pStyle w:val="Heading2"/>
      </w:pPr>
      <w:r>
        <w:t>Slide 12 — Established simulation foundations</w:t>
      </w:r>
    </w:p>
    <w:p>
      <w:pPr>
        <w:spacing w:after="80"/>
      </w:pPr>
      <w:r>
        <w:rPr>
          <w:rFonts w:ascii="Arimo" w:hAnsi="Arimo"/>
          <w:b/>
          <w:color w:val="167A55"/>
          <w:sz w:val="16"/>
        </w:rPr>
        <w:t>TIME  1:20   •   STAGE CUE  Name these as engineering precedents, not validation of the present app.</w:t>
      </w:r>
    </w:p>
    <w:p>
      <w:pPr>
        <w:keepNext/>
        <w:spacing w:after="60"/>
      </w:pPr>
      <w:r>
        <w:rPr>
          <w:rFonts w:ascii="Arimo" w:hAnsi="Arimo"/>
          <w:b/>
          <w:color w:val="5E7068"/>
          <w:sz w:val="17"/>
        </w:rPr>
        <w:t xml:space="preserve">On-screen anchor: </w:t>
      </w:r>
      <w:r>
        <w:rPr>
          <w:rFonts w:ascii="Arimo" w:hAnsi="Arimo"/>
          <w:color w:val="5E7068"/>
          <w:sz w:val="17"/>
        </w:rPr>
        <w:t>BOPTEST: external controller testing with common APIs and KPIs · EnergyPlus and Modelica Buildings: dynamic building and HVAC simulation · FMI and FMU: portable model interfaces and co-simulation</w:t>
      </w:r>
    </w:p>
    <w:p>
      <w:pPr>
        <w:spacing w:after="80" w:line="250" w:lineRule="auto"/>
      </w:pPr>
      <w:r>
        <w:rPr>
          <w:rFonts w:ascii="Arimo" w:hAnsi="Arimo"/>
          <w:sz w:val="20"/>
        </w:rPr>
        <w:t>This proposal uses established simulation practice. BOPTEST shows how external control algorithms can use one test environment and receive standard performance measures. EnergyPlus and the Modelica Buildings Library support dynamic building and HVAC simulation. The Functional Mock-up Interface packages and exchanges simulation models. It also supports co-simulation. ASHRAE Standard 140 offers a systematic way to test building-energy simulation programs. These references support the engineering pattern. That pattern has a stable interface, versioned cases, repeatable metrics, and replaceable engines. They do not validate the current RainForest app. The RainForest still needs its own data preparation, calibration, and validation.</w:t>
      </w:r>
    </w:p>
    <w:p>
      <w:pPr>
        <w:spacing w:before="40" w:after="160"/>
      </w:pPr>
      <w:r>
        <w:rPr>
          <w:rFonts w:ascii="Arimo" w:hAnsi="Arimo"/>
          <w:b/>
          <w:color w:val="5E7068"/>
          <w:sz w:val="17"/>
        </w:rPr>
        <w:t xml:space="preserve">Sources: </w:t>
      </w:r>
      <w:r>
        <w:rPr>
          <w:rFonts w:ascii="Arimo" w:hAnsi="Arimo"/>
          <w:color w:val="5E7068"/>
          <w:sz w:val="17"/>
        </w:rPr>
        <w:t>https://ibpsa.github.io/project1-boptest/index.html  |  https://ibpsa.github.io/project1-boptest/docs-userguide/introduction.html  |  https://energyplus.net/  |  https://simulationresearch.lbl.gov/modelica/  |  https://fmi-standard.org/docs/main/  |  https://data.ashrae.org/standard140/</w:t>
      </w:r>
    </w:p>
    <w:p>
      <w:pPr>
        <w:pageBreakBefore/>
        <w:spacing w:after="60"/>
      </w:pPr>
      <w:r>
        <w:rPr>
          <w:rFonts w:ascii="Arimo" w:hAnsi="Arimo"/>
          <w:b/>
          <w:color w:val="167A55"/>
          <w:sz w:val="18"/>
        </w:rPr>
        <w:t>MAIN TALK  •  ACT 5 OF 6</w:t>
      </w:r>
    </w:p>
    <w:p>
      <w:pPr>
        <w:pStyle w:val="Heading1"/>
      </w:pPr>
      <w:r>
        <w:t>Act V — Student learning and research value</w:t>
      </w:r>
    </w:p>
    <w:p>
      <w:pPr>
        <w:pStyle w:val="Heading2"/>
      </w:pPr>
      <w:r>
        <w:t>Slide 13 — Student learning through simulation</w:t>
      </w:r>
    </w:p>
    <w:p>
      <w:pPr>
        <w:spacing w:after="80"/>
      </w:pPr>
      <w:r>
        <w:rPr>
          <w:rFonts w:ascii="Arimo" w:hAnsi="Arimo"/>
          <w:b/>
          <w:color w:val="167A55"/>
          <w:sz w:val="16"/>
        </w:rPr>
        <w:t>TIME  1:10   •   STAGE CUE  Follow one student project through testing, interpretation, faculty feedback, and revision. Emphasize learning outcomes.</w:t>
      </w:r>
    </w:p>
    <w:p>
      <w:pPr>
        <w:keepNext/>
        <w:spacing w:after="60"/>
      </w:pPr>
      <w:r>
        <w:rPr>
          <w:rFonts w:ascii="Arimo" w:hAnsi="Arimo"/>
          <w:b/>
          <w:color w:val="5E7068"/>
          <w:sz w:val="17"/>
        </w:rPr>
        <w:t xml:space="preserve">On-screen anchor: </w:t>
      </w:r>
      <w:r>
        <w:rPr>
          <w:rFonts w:ascii="Arimo" w:hAnsi="Arimo"/>
          <w:color w:val="5E7068"/>
          <w:sz w:val="17"/>
        </w:rPr>
        <w:t>Develop a student project · Test shared scenarios · Interpret results with faculty feedback</w:t>
      </w:r>
    </w:p>
    <w:p>
      <w:pPr>
        <w:spacing w:after="80" w:line="250" w:lineRule="auto"/>
      </w:pPr>
      <w:r>
        <w:rPr>
          <w:rFonts w:ascii="Arimo" w:hAnsi="Arimo"/>
          <w:sz w:val="20"/>
        </w:rPr>
        <w:t>Student learning is a central purpose of this simulator. A student creates a climate-control project. The student tests it against documented scenarios. Then the student reads the trajectories. Faculty feedback helps explain why the result changes across conditions. The student can revise the design and test again. This gives practice in experimental design and uncertainty. It also connects mathematical methods to a real environmental system. The common strategy format supports PID, MPC, reinforcement learning, and other methods. Versioned runs help students explain and reproduce their findings. Student code stays offline and separate from facility equipment. The main outcome is stronger research and engineering skill.</w:t>
      </w:r>
    </w:p>
    <w:p>
      <w:pPr>
        <w:spacing w:before="40" w:after="160"/>
      </w:pPr>
      <w:r>
        <w:rPr>
          <w:rFonts w:ascii="Arimo" w:hAnsi="Arimo"/>
          <w:b/>
          <w:color w:val="5E7068"/>
          <w:sz w:val="17"/>
        </w:rPr>
        <w:t xml:space="preserve">Sources: </w:t>
      </w:r>
      <w:r>
        <w:rPr>
          <w:rFonts w:ascii="Arimo" w:hAnsi="Arimo"/>
          <w:color w:val="5E7068"/>
          <w:sz w:val="17"/>
        </w:rPr>
        <w:t>https://ibpsa.github.io/project1-boptest/index.html</w:t>
      </w:r>
    </w:p>
    <w:p>
      <w:pPr>
        <w:pStyle w:val="Heading2"/>
      </w:pPr>
      <w:r>
        <w:t>Slide 14 — Operational and economic value</w:t>
      </w:r>
    </w:p>
    <w:p>
      <w:pPr>
        <w:spacing w:after="80"/>
      </w:pPr>
      <w:r>
        <w:rPr>
          <w:rFonts w:ascii="Arimo" w:hAnsi="Arimo"/>
          <w:b/>
          <w:color w:val="167A55"/>
          <w:sz w:val="16"/>
        </w:rPr>
        <w:t>TIME  1:05   •   STAGE CUE  Pause on potential. Explicitly say there is no percentage or dollar promise today.</w:t>
      </w:r>
    </w:p>
    <w:p>
      <w:pPr>
        <w:keepNext/>
        <w:spacing w:after="60"/>
      </w:pPr>
      <w:r>
        <w:rPr>
          <w:rFonts w:ascii="Arimo" w:hAnsi="Arimo"/>
          <w:b/>
          <w:color w:val="5E7068"/>
          <w:sz w:val="17"/>
        </w:rPr>
        <w:t xml:space="preserve">On-screen anchor: </w:t>
      </w:r>
      <w:r>
        <w:rPr>
          <w:rFonts w:ascii="Arimo" w:hAnsi="Arimo"/>
          <w:color w:val="5E7068"/>
          <w:sz w:val="17"/>
        </w:rPr>
        <w:t>Explore climate and energy outcomes with strategy authors · Compare behavior under agreed scenarios · Support jointly planned field studies</w:t>
      </w:r>
    </w:p>
    <w:p>
      <w:pPr>
        <w:spacing w:after="80" w:line="250" w:lineRule="auto"/>
      </w:pPr>
      <w:r>
        <w:rPr>
          <w:rFonts w:ascii="Arimo" w:hAnsi="Arimo"/>
          <w:sz w:val="20"/>
        </w:rPr>
        <w:t>The platform supports research on energy use and climate conditions. Teams compare schedules under agreed scenarios. They can view climate trajectories with fan demand, valve motion, and other equipment indicators. They can ask whether two strategies give similar climate results with different energy needs. These comparisons complement each team's existing analysis. They can also inform jointly planned field studies. Energy-cost savings are a possible benefit. The PoC must first calibrate energy relationships and validate them against measurements. I am not claiming a savings percentage or dollar amount today. Reproducible scenarios can still support research proposals, student projects, and grant applications. Each result keeps its assumptions and model limits.</w:t>
      </w:r>
    </w:p>
    <w:p>
      <w:pPr>
        <w:spacing w:before="40" w:after="160"/>
      </w:pPr>
      <w:r>
        <w:rPr>
          <w:rFonts w:ascii="Arimo" w:hAnsi="Arimo"/>
          <w:b/>
          <w:color w:val="5E7068"/>
          <w:sz w:val="17"/>
        </w:rPr>
        <w:t xml:space="preserve">Sources: </w:t>
      </w:r>
      <w:r>
        <w:rPr>
          <w:rFonts w:ascii="Arimo" w:hAnsi="Arimo"/>
          <w:color w:val="5E7068"/>
          <w:sz w:val="17"/>
        </w:rPr>
        <w:t>https://biosphere2.org/research/user-facility-information/energy-and-water</w:t>
      </w:r>
    </w:p>
    <w:p>
      <w:pPr>
        <w:pageBreakBefore/>
        <w:spacing w:after="60"/>
      </w:pPr>
      <w:r>
        <w:rPr>
          <w:rFonts w:ascii="Arimo" w:hAnsi="Arimo"/>
          <w:b/>
          <w:color w:val="167A55"/>
          <w:sz w:val="18"/>
        </w:rPr>
        <w:t>MAIN TALK  •  ACT 6 OF 6</w:t>
      </w:r>
    </w:p>
    <w:p>
      <w:pPr>
        <w:pStyle w:val="Heading1"/>
      </w:pPr>
      <w:r>
        <w:t>Act VI — What to build and what to approve</w:t>
      </w:r>
    </w:p>
    <w:p>
      <w:pPr>
        <w:pStyle w:val="Heading2"/>
      </w:pPr>
      <w:r>
        <w:t>Slide 15 — Sixteen-week Proof of Concept</w:t>
      </w:r>
    </w:p>
    <w:p>
      <w:pPr>
        <w:spacing w:after="80"/>
      </w:pPr>
      <w:r>
        <w:rPr>
          <w:rFonts w:ascii="Arimo" w:hAnsi="Arimo"/>
          <w:b/>
          <w:color w:val="167A55"/>
          <w:sz w:val="16"/>
        </w:rPr>
        <w:t>TIME  1:30   •   STAGE CUE  Move through the four stages. Finish on the exit package.</w:t>
      </w:r>
    </w:p>
    <w:p>
      <w:pPr>
        <w:keepNext/>
        <w:spacing w:after="60"/>
      </w:pPr>
      <w:r>
        <w:rPr>
          <w:rFonts w:ascii="Arimo" w:hAnsi="Arimo"/>
          <w:b/>
          <w:color w:val="5E7068"/>
          <w:sz w:val="17"/>
        </w:rPr>
        <w:t xml:space="preserve">On-screen anchor: </w:t>
      </w:r>
      <w:r>
        <w:rPr>
          <w:rFonts w:ascii="Arimo" w:hAnsi="Arimo"/>
          <w:color w:val="5E7068"/>
          <w:sz w:val="17"/>
        </w:rPr>
        <w:t>Weeks 1-4: synchronize data, controls, context, and limits · Weeks 5-8: benchmark engines and uncertainty · Weeks 9-12: implement the module API, scenarios, KPIs, and interface</w:t>
      </w:r>
    </w:p>
    <w:p>
      <w:pPr>
        <w:spacing w:after="80" w:line="250" w:lineRule="auto"/>
      </w:pPr>
      <w:r>
        <w:rPr>
          <w:rFonts w:ascii="Arimo" w:hAnsi="Arimo"/>
          <w:sz w:val="20"/>
        </w:rPr>
        <w:t>The work has four stages. In weeks one through four, we align controls, climate channels, context, energy signals, timestamps, units, and limits. We also define training and holdout periods. In weeks five through eight, we build and compare at least two engine families. We measure forecast error and add uncertainty checks. In weeks nine through twelve, we build the module interface, scenarios, indicators, constraint logic, and review interface. In weeks thirteen through sixteen, we replay historical periods. We compare predictions with measurements. We conduct operator review and acceptance tests. The deliverable is an offline testbed, a validation report, documented limits, and a Phase 2 recommendation.</w:t>
      </w:r>
    </w:p>
    <w:p>
      <w:pPr>
        <w:pStyle w:val="Heading2"/>
      </w:pPr>
      <w:r>
        <w:t>Slide 16 — Decision requested</w:t>
      </w:r>
    </w:p>
    <w:p>
      <w:pPr>
        <w:spacing w:after="80"/>
      </w:pPr>
      <w:r>
        <w:rPr>
          <w:rFonts w:ascii="Arimo" w:hAnsi="Arimo"/>
          <w:b/>
          <w:color w:val="167A55"/>
          <w:sz w:val="16"/>
        </w:rPr>
        <w:t>TIME  1:05   •   STAGE CUE  Slow down. Make the three requests one at a time, then end on the decision question.</w:t>
      </w:r>
    </w:p>
    <w:p>
      <w:pPr>
        <w:keepNext/>
        <w:spacing w:after="60"/>
      </w:pPr>
      <w:r>
        <w:rPr>
          <w:rFonts w:ascii="Arimo" w:hAnsi="Arimo"/>
          <w:b/>
          <w:color w:val="5E7068"/>
          <w:sz w:val="17"/>
        </w:rPr>
        <w:t xml:space="preserve">On-screen anchor: </w:t>
      </w:r>
      <w:r>
        <w:rPr>
          <w:rFonts w:ascii="Arimo" w:hAnsi="Arimo"/>
          <w:color w:val="5E7068"/>
          <w:sz w:val="17"/>
        </w:rPr>
        <w:t>Approve the sixteen-week Proof of Concept · Assign a Biosphere 2 operations liaison · Authorize access to synchronized controls, sensors, weather, energy signals, and operating limits</w:t>
      </w:r>
    </w:p>
    <w:p>
      <w:pPr>
        <w:spacing w:after="80" w:line="250" w:lineRule="auto"/>
      </w:pPr>
      <w:r>
        <w:rPr>
          <w:rFonts w:ascii="Arimo" w:hAnsi="Arimo"/>
          <w:sz w:val="20"/>
        </w:rPr>
        <w:t>I ask for approval to build the sixteen-week offline Proof of Concept. The project needs a Biosphere 2 operations liaison. It also needs authorized access to synchronized control histories, climate measurements, context, energy signals, and operating limits. I would lead the implementation under Dr. Ildar Gabitov's academic supervision. Researchers and Biosphere 2 staff would help define scenarios. They would review assumptions and acceptance criteria. At the end, leadership receives the testbed, model benchmark, validation evidence, limits, and a Phase 2 recommendation. This request includes no equipment connection. The PoC supports existing climate-control research. It also gives students one shared place to test and improve their projects.</w:t>
      </w:r>
    </w:p>
    <w:p>
      <w:pPr>
        <w:pageBreakBefore/>
        <w:spacing w:after="60"/>
      </w:pPr>
      <w:r>
        <w:rPr>
          <w:rFonts w:ascii="Arimo" w:hAnsi="Arimo"/>
          <w:b/>
          <w:color w:val="167A55"/>
          <w:sz w:val="18"/>
        </w:rPr>
        <w:t>REHEARSAL AID</w:t>
      </w:r>
    </w:p>
    <w:p>
      <w:pPr>
        <w:pStyle w:val="Heading1"/>
      </w:pPr>
      <w:r>
        <w:t>Pronunciation and mathematical reading</w:t>
      </w:r>
    </w:p>
    <w:p>
      <w:pPr>
        <w:spacing w:after="200"/>
      </w:pPr>
      <w:r>
        <w:t>Use the letter-by-letter readings for acronyms. Keep the formula on slide 3 conversational; it is a definition of the forward step, not a derivation.</w:t>
      </w:r>
    </w:p>
    <w:tbl>
      <w:tblPr>
        <w:tblW w:type="auto" w:w="0"/>
        <w:jc w:val="center"/>
        <w:tblLayout w:type="fixed"/>
        <w:tblLook w:firstColumn="1" w:firstRow="1" w:lastColumn="0" w:lastRow="0" w:noHBand="0" w:noVBand="1" w:val="04A0"/>
      </w:tblPr>
      <w:tblGrid>
        <w:gridCol w:w="3024"/>
        <w:gridCol w:w="7056"/>
      </w:tblGrid>
      <w:tr>
        <w:tc>
          <w:tcPr>
            <w:tcW w:type="dxa" w:w="5083"/>
            <w:shd w:fill="167A55"/>
            <w:tcMar>
              <w:top w:w="90" w:type="dxa"/>
              <w:start w:w="100" w:type="dxa"/>
              <w:bottom w:w="90" w:type="dxa"/>
              <w:end w:w="100" w:type="dxa"/>
            </w:tcMar>
          </w:tcPr>
          <w:p>
            <w:r>
              <w:rPr>
                <w:rFonts w:ascii="Arimo" w:hAnsi="Arimo"/>
                <w:b/>
                <w:color w:val="FFFFFF"/>
                <w:sz w:val="18"/>
              </w:rPr>
              <w:t>TERM</w:t>
            </w:r>
          </w:p>
        </w:tc>
        <w:tc>
          <w:tcPr>
            <w:tcW w:type="dxa" w:w="5083"/>
            <w:shd w:fill="167A55"/>
            <w:tcMar>
              <w:top w:w="90" w:type="dxa"/>
              <w:start w:w="100" w:type="dxa"/>
              <w:bottom w:w="90" w:type="dxa"/>
              <w:end w:w="100" w:type="dxa"/>
            </w:tcMar>
          </w:tcPr>
          <w:p>
            <w:r>
              <w:rPr>
                <w:rFonts w:ascii="Arimo" w:hAnsi="Arimo"/>
                <w:b/>
                <w:color w:val="FFFFFF"/>
                <w:sz w:val="18"/>
              </w:rPr>
              <w:t>SAY</w:t>
            </w:r>
          </w:p>
        </w:tc>
      </w:tr>
      <w:tr>
        <w:tc>
          <w:tcPr>
            <w:tcW w:type="dxa" w:w="3024"/>
            <w:shd w:fill="F4F7F3"/>
            <w:tcMar>
              <w:top w:w="90" w:type="dxa"/>
              <w:start w:w="100" w:type="dxa"/>
              <w:bottom w:w="90" w:type="dxa"/>
              <w:end w:w="100" w:type="dxa"/>
            </w:tcMar>
            <w:tcBorders>
              <w:bottom w:val="single" w:sz="4" w:color="FFFFFF"/>
            </w:tcBorders>
          </w:tcPr>
          <w:p>
            <w:r>
              <w:rPr>
                <w:rFonts w:ascii="Arimo" w:hAnsi="Arimo"/>
                <w:b/>
                <w:sz w:val="19"/>
              </w:rPr>
              <w:t>BOPTEST</w:t>
            </w:r>
          </w:p>
        </w:tc>
        <w:tc>
          <w:tcPr>
            <w:tcW w:type="dxa" w:w="7056"/>
            <w:shd w:fill="F4F7F3"/>
            <w:tcMar>
              <w:top w:w="90" w:type="dxa"/>
              <w:start w:w="100" w:type="dxa"/>
              <w:bottom w:w="90" w:type="dxa"/>
              <w:end w:w="100" w:type="dxa"/>
            </w:tcMar>
            <w:tcBorders>
              <w:bottom w:val="single" w:sz="4" w:color="FFFFFF"/>
            </w:tcBorders>
          </w:tcPr>
          <w:p>
            <w:r>
              <w:rPr>
                <w:rFonts w:ascii="Arimo" w:hAnsi="Arimo"/>
                <w:sz w:val="19"/>
              </w:rPr>
              <w:t>B-O-P-test</w:t>
            </w:r>
          </w:p>
        </w:tc>
      </w:tr>
      <w:tr>
        <w:tc>
          <w:tcPr>
            <w:tcW w:type="dxa" w:w="3024"/>
            <w:shd w:fill="F4F7F3"/>
            <w:tcMar>
              <w:top w:w="90" w:type="dxa"/>
              <w:start w:w="100" w:type="dxa"/>
              <w:bottom w:w="90" w:type="dxa"/>
              <w:end w:w="100" w:type="dxa"/>
            </w:tcMar>
            <w:tcBorders>
              <w:bottom w:val="single" w:sz="4" w:color="FFFFFF"/>
            </w:tcBorders>
          </w:tcPr>
          <w:p>
            <w:r>
              <w:rPr>
                <w:rFonts w:ascii="Arimo" w:hAnsi="Arimo"/>
                <w:b/>
                <w:sz w:val="19"/>
              </w:rPr>
              <w:t>FMI</w:t>
            </w:r>
          </w:p>
        </w:tc>
        <w:tc>
          <w:tcPr>
            <w:tcW w:type="dxa" w:w="7056"/>
            <w:shd w:fill="F4F7F3"/>
            <w:tcMar>
              <w:top w:w="90" w:type="dxa"/>
              <w:start w:w="100" w:type="dxa"/>
              <w:bottom w:w="90" w:type="dxa"/>
              <w:end w:w="100" w:type="dxa"/>
            </w:tcMar>
            <w:tcBorders>
              <w:bottom w:val="single" w:sz="4" w:color="FFFFFF"/>
            </w:tcBorders>
          </w:tcPr>
          <w:p>
            <w:r>
              <w:rPr>
                <w:rFonts w:ascii="Arimo" w:hAnsi="Arimo"/>
                <w:sz w:val="19"/>
              </w:rPr>
              <w:t>F-M-I</w:t>
            </w:r>
          </w:p>
        </w:tc>
      </w:tr>
      <w:tr>
        <w:tc>
          <w:tcPr>
            <w:tcW w:type="dxa" w:w="3024"/>
            <w:shd w:fill="F4F7F3"/>
            <w:tcMar>
              <w:top w:w="90" w:type="dxa"/>
              <w:start w:w="100" w:type="dxa"/>
              <w:bottom w:w="90" w:type="dxa"/>
              <w:end w:w="100" w:type="dxa"/>
            </w:tcMar>
            <w:tcBorders>
              <w:bottom w:val="single" w:sz="4" w:color="FFFFFF"/>
            </w:tcBorders>
          </w:tcPr>
          <w:p>
            <w:r>
              <w:rPr>
                <w:rFonts w:ascii="Arimo" w:hAnsi="Arimo"/>
                <w:b/>
                <w:sz w:val="19"/>
              </w:rPr>
              <w:t>FMU</w:t>
            </w:r>
          </w:p>
        </w:tc>
        <w:tc>
          <w:tcPr>
            <w:tcW w:type="dxa" w:w="7056"/>
            <w:shd w:fill="F4F7F3"/>
            <w:tcMar>
              <w:top w:w="90" w:type="dxa"/>
              <w:start w:w="100" w:type="dxa"/>
              <w:bottom w:w="90" w:type="dxa"/>
              <w:end w:w="100" w:type="dxa"/>
            </w:tcMar>
            <w:tcBorders>
              <w:bottom w:val="single" w:sz="4" w:color="FFFFFF"/>
            </w:tcBorders>
          </w:tcPr>
          <w:p>
            <w:r>
              <w:rPr>
                <w:rFonts w:ascii="Arimo" w:hAnsi="Arimo"/>
                <w:sz w:val="19"/>
              </w:rPr>
              <w:t>F-M-U</w:t>
            </w:r>
          </w:p>
        </w:tc>
      </w:tr>
      <w:tr>
        <w:tc>
          <w:tcPr>
            <w:tcW w:type="dxa" w:w="3024"/>
            <w:shd w:fill="F4F7F3"/>
            <w:tcMar>
              <w:top w:w="90" w:type="dxa"/>
              <w:start w:w="100" w:type="dxa"/>
              <w:bottom w:w="90" w:type="dxa"/>
              <w:end w:w="100" w:type="dxa"/>
            </w:tcMar>
            <w:tcBorders>
              <w:bottom w:val="single" w:sz="4" w:color="FFFFFF"/>
            </w:tcBorders>
          </w:tcPr>
          <w:p>
            <w:r>
              <w:rPr>
                <w:rFonts w:ascii="Arimo" w:hAnsi="Arimo"/>
                <w:b/>
                <w:sz w:val="19"/>
              </w:rPr>
              <w:t>Modelica</w:t>
            </w:r>
          </w:p>
        </w:tc>
        <w:tc>
          <w:tcPr>
            <w:tcW w:type="dxa" w:w="7056"/>
            <w:shd w:fill="F4F7F3"/>
            <w:tcMar>
              <w:top w:w="90" w:type="dxa"/>
              <w:start w:w="100" w:type="dxa"/>
              <w:bottom w:w="90" w:type="dxa"/>
              <w:end w:w="100" w:type="dxa"/>
            </w:tcMar>
            <w:tcBorders>
              <w:bottom w:val="single" w:sz="4" w:color="FFFFFF"/>
            </w:tcBorders>
          </w:tcPr>
          <w:p>
            <w:r>
              <w:rPr>
                <w:rFonts w:ascii="Arimo" w:hAnsi="Arimo"/>
                <w:sz w:val="19"/>
              </w:rPr>
              <w:t>mo-DELL-ih-ka</w:t>
            </w:r>
          </w:p>
        </w:tc>
      </w:tr>
      <w:tr>
        <w:tc>
          <w:tcPr>
            <w:tcW w:type="dxa" w:w="3024"/>
            <w:shd w:fill="F4F7F3"/>
            <w:tcMar>
              <w:top w:w="90" w:type="dxa"/>
              <w:start w:w="100" w:type="dxa"/>
              <w:bottom w:w="90" w:type="dxa"/>
              <w:end w:w="100" w:type="dxa"/>
            </w:tcMar>
            <w:tcBorders>
              <w:bottom w:val="single" w:sz="4" w:color="FFFFFF"/>
            </w:tcBorders>
          </w:tcPr>
          <w:p>
            <w:r>
              <w:rPr>
                <w:rFonts w:ascii="Arimo" w:hAnsi="Arimo"/>
                <w:b/>
                <w:sz w:val="19"/>
              </w:rPr>
              <w:t>LSTM</w:t>
            </w:r>
          </w:p>
        </w:tc>
        <w:tc>
          <w:tcPr>
            <w:tcW w:type="dxa" w:w="7056"/>
            <w:shd w:fill="F4F7F3"/>
            <w:tcMar>
              <w:top w:w="90" w:type="dxa"/>
              <w:start w:w="100" w:type="dxa"/>
              <w:bottom w:w="90" w:type="dxa"/>
              <w:end w:w="100" w:type="dxa"/>
            </w:tcMar>
            <w:tcBorders>
              <w:bottom w:val="single" w:sz="4" w:color="FFFFFF"/>
            </w:tcBorders>
          </w:tcPr>
          <w:p>
            <w:r>
              <w:rPr>
                <w:rFonts w:ascii="Arimo" w:hAnsi="Arimo"/>
                <w:sz w:val="19"/>
              </w:rPr>
              <w:t>L-S-T-M</w:t>
            </w:r>
          </w:p>
        </w:tc>
      </w:tr>
      <w:tr>
        <w:tc>
          <w:tcPr>
            <w:tcW w:type="dxa" w:w="3024"/>
            <w:shd w:fill="F4F7F3"/>
            <w:tcMar>
              <w:top w:w="90" w:type="dxa"/>
              <w:start w:w="100" w:type="dxa"/>
              <w:bottom w:w="90" w:type="dxa"/>
              <w:end w:w="100" w:type="dxa"/>
            </w:tcMar>
            <w:tcBorders>
              <w:bottom w:val="single" w:sz="4" w:color="FFFFFF"/>
            </w:tcBorders>
          </w:tcPr>
          <w:p>
            <w:r>
              <w:rPr>
                <w:rFonts w:ascii="Arimo" w:hAnsi="Arimo"/>
                <w:b/>
                <w:sz w:val="19"/>
              </w:rPr>
              <w:t>Hamiltonian</w:t>
            </w:r>
          </w:p>
        </w:tc>
        <w:tc>
          <w:tcPr>
            <w:tcW w:type="dxa" w:w="7056"/>
            <w:shd w:fill="F4F7F3"/>
            <w:tcMar>
              <w:top w:w="90" w:type="dxa"/>
              <w:start w:w="100" w:type="dxa"/>
              <w:bottom w:w="90" w:type="dxa"/>
              <w:end w:w="100" w:type="dxa"/>
            </w:tcMar>
            <w:tcBorders>
              <w:bottom w:val="single" w:sz="4" w:color="FFFFFF"/>
            </w:tcBorders>
          </w:tcPr>
          <w:p>
            <w:r>
              <w:rPr>
                <w:rFonts w:ascii="Arimo" w:hAnsi="Arimo"/>
                <w:sz w:val="19"/>
              </w:rPr>
              <w:t>ham-il-TOE-nee-an</w:t>
            </w:r>
          </w:p>
        </w:tc>
      </w:tr>
      <w:tr>
        <w:tc>
          <w:tcPr>
            <w:tcW w:type="dxa" w:w="3024"/>
            <w:shd w:fill="F4F7F3"/>
            <w:tcMar>
              <w:top w:w="90" w:type="dxa"/>
              <w:start w:w="100" w:type="dxa"/>
              <w:bottom w:w="90" w:type="dxa"/>
              <w:end w:w="100" w:type="dxa"/>
            </w:tcMar>
            <w:tcBorders>
              <w:bottom w:val="single" w:sz="4" w:color="FFFFFF"/>
            </w:tcBorders>
          </w:tcPr>
          <w:p>
            <w:r>
              <w:rPr>
                <w:rFonts w:ascii="Arimo" w:hAnsi="Arimo"/>
                <w:b/>
                <w:sz w:val="19"/>
              </w:rPr>
              <w:t>Gabitov</w:t>
            </w:r>
          </w:p>
        </w:tc>
        <w:tc>
          <w:tcPr>
            <w:tcW w:type="dxa" w:w="7056"/>
            <w:shd w:fill="F4F7F3"/>
            <w:tcMar>
              <w:top w:w="90" w:type="dxa"/>
              <w:start w:w="100" w:type="dxa"/>
              <w:bottom w:w="90" w:type="dxa"/>
              <w:end w:w="100" w:type="dxa"/>
            </w:tcMar>
            <w:tcBorders>
              <w:bottom w:val="single" w:sz="4" w:color="FFFFFF"/>
            </w:tcBorders>
          </w:tcPr>
          <w:p>
            <w:r>
              <w:rPr>
                <w:rFonts w:ascii="Arimo" w:hAnsi="Arimo"/>
                <w:sz w:val="19"/>
              </w:rPr>
              <w:t>GAH-bee-tov</w:t>
            </w:r>
          </w:p>
        </w:tc>
      </w:tr>
    </w:tbl>
    <w:p/>
    <w:p>
      <w:pPr>
        <w:pStyle w:val="Heading2"/>
      </w:pPr>
      <w:r>
        <w:t>Slide 3 formula</w:t>
      </w:r>
    </w:p>
    <w:p>
      <w:r>
        <w:rPr>
          <w:rFonts w:ascii="Arimo" w:hAnsi="Arimo"/>
          <w:b/>
          <w:sz w:val="24"/>
        </w:rPr>
        <w:t>x sub k plus one equals F theta of x sub k, u sub k, and w sub k.</w:t>
      </w:r>
    </w:p>
    <w:p>
      <w:pPr>
        <w:spacing w:after="200"/>
      </w:pPr>
      <w:r>
        <w:t>Meaning: the next climate state is estimated from the current state, the 64 control values, and external context such as weather and operating mode.</w:t>
      </w:r>
    </w:p>
    <w:p>
      <w:pPr>
        <w:pStyle w:val="Heading2"/>
      </w:pPr>
      <w:r>
        <w:t>If the demo does not play</w:t>
      </w:r>
    </w:p>
    <w:p>
      <w:r>
        <w:t>Use the static frame on slide 7, say the same script, and invite the audience to scan the QR code after the talk. The argument does not depend on live connectivity.</w:t>
      </w:r>
    </w:p>
    <w:p>
      <w:pPr>
        <w:pageBreakBefore/>
        <w:spacing w:after="60"/>
      </w:pPr>
      <w:r>
        <w:rPr>
          <w:rFonts w:ascii="Arimo" w:hAnsi="Arimo"/>
          <w:b/>
          <w:color w:val="E69B3A"/>
          <w:sz w:val="18"/>
        </w:rPr>
        <w:t>PREPARED Q&amp;A  •  GROUP 1 OF 5</w:t>
      </w:r>
    </w:p>
    <w:p>
      <w:pPr>
        <w:pStyle w:val="Heading1"/>
      </w:pPr>
      <w:r>
        <w:t>Accuracy and observability</w:t>
      </w:r>
    </w:p>
    <w:p>
      <w:pPr>
        <w:pStyle w:val="Heading3"/>
      </w:pPr>
      <w:r>
        <w:t>Q1. How accurate must the simulator be before it is useful?</w:t>
      </w:r>
    </w:p>
    <w:p>
      <w:pPr>
        <w:spacing w:after="160" w:line="269" w:lineRule="auto"/>
      </w:pPr>
      <w:r>
        <w:t>The threshold depends on the decision. A model may help rank strategies before it is accurate enough for a field trial. The PoC will report error by channel, horizon, season, and operating region. It will also show when uncertainty grows outside the training data. Biosphere 2 operations should approve the threshold for each use case.</w:t>
      </w:r>
    </w:p>
    <w:p>
      <w:pPr>
        <w:pStyle w:val="Heading3"/>
      </w:pPr>
      <w:r>
        <w:t>Q2. What happens when sensors are missing or unreliable?</w:t>
      </w:r>
    </w:p>
    <w:p>
      <w:pPr>
        <w:spacing w:after="160" w:line="269" w:lineRule="auto"/>
      </w:pPr>
      <w:r>
        <w:t>The platform keeps quality flags and identifies missing channels. It uses only documented imputation or state-estimation methods. The result shows when the engine runs in a degraded mode. If key information is missing, the simulator rejects the run or widens uncertainty. It does not fill the gap silently.</w:t>
      </w:r>
    </w:p>
    <w:p>
      <w:pPr>
        <w:pStyle w:val="Heading3"/>
      </w:pPr>
      <w:r>
        <w:t>Q3. How will you prove that controls caused the predicted climate response?</w:t>
      </w:r>
    </w:p>
    <w:p>
      <w:pPr>
        <w:spacing w:after="160" w:line="269" w:lineRule="auto"/>
      </w:pPr>
      <w:r>
        <w:t>Historical correlation alone does not prove causality. The PoC aligns command histories, actuator states, sensor data, weather, schedules, and operating modes. It tests models on untouched chronological periods. It also examines documented interventions. Any later field-identification experiment needs a separate operator-approved protocol, safe bounds, and rollback conditions.</w:t>
      </w:r>
    </w:p>
    <w:p>
      <w:pPr>
        <w:pageBreakBefore/>
        <w:spacing w:after="60"/>
      </w:pPr>
      <w:r>
        <w:rPr>
          <w:rFonts w:ascii="Arimo" w:hAnsi="Arimo"/>
          <w:b/>
          <w:color w:val="E69B3A"/>
          <w:sz w:val="18"/>
        </w:rPr>
        <w:t>PREPARED Q&amp;A  •  GROUP 2 OF 5</w:t>
      </w:r>
    </w:p>
    <w:p>
      <w:pPr>
        <w:pStyle w:val="Heading1"/>
      </w:pPr>
      <w:r>
        <w:t>Safety and operational authority</w:t>
      </w:r>
    </w:p>
    <w:p>
      <w:pPr>
        <w:pStyle w:val="Heading3"/>
      </w:pPr>
      <w:r>
        <w:t>Q4. Could this system damage equipment or the biome?</w:t>
      </w:r>
    </w:p>
    <w:p>
      <w:pPr>
        <w:spacing w:after="160" w:line="269" w:lineRule="auto"/>
      </w:pPr>
      <w:r>
        <w:t>The proposed PoC cannot write to facility equipment. It is an offline testbed. It checks the file structure and control bounds. Then it returns predicted consequences for review. Any equipment connection needs a separate project, safety case, procedure, cybersecurity review, named authority, and tested rollback path.</w:t>
      </w:r>
    </w:p>
    <w:p>
      <w:pPr>
        <w:pStyle w:val="Heading3"/>
      </w:pPr>
      <w:r>
        <w:t>Q5. Who decides whether a strategy can be tested in the real facility?</w:t>
      </w:r>
    </w:p>
    <w:p>
      <w:pPr>
        <w:spacing w:after="160" w:line="269" w:lineRule="auto"/>
      </w:pPr>
      <w:r>
        <w:t>Biosphere 2 operations retains that authority. Model developers can provide evidence and recommendations. Model confidence does not authorize deployment. Every field trial needs an approved scope, operator, time window, limits, monitoring plan, and stop conditions.</w:t>
      </w:r>
    </w:p>
    <w:p>
      <w:pPr>
        <w:pStyle w:val="Heading3"/>
      </w:pPr>
      <w:r>
        <w:t>Q6. How will cybersecurity and access control be handled?</w:t>
      </w:r>
    </w:p>
    <w:p>
      <w:pPr>
        <w:spacing w:after="160" w:line="269" w:lineRule="auto"/>
      </w:pPr>
      <w:r>
        <w:t>The first phase uses offline copies of authorized data. It has no operational write path. Access follows least privilege. Strategy files, models, scenarios, and results are versioned. Research services stay separate from building-control networks. Any later integration needs review by the University and Biosphere 2 security teams.</w:t>
      </w:r>
    </w:p>
    <w:p>
      <w:pPr>
        <w:pageBreakBefore/>
        <w:spacing w:after="60"/>
      </w:pPr>
      <w:r>
        <w:rPr>
          <w:rFonts w:ascii="Arimo" w:hAnsi="Arimo"/>
          <w:b/>
          <w:color w:val="E69B3A"/>
          <w:sz w:val="18"/>
        </w:rPr>
        <w:t>PREPARED Q&amp;A  •  GROUP 3 OF 5</w:t>
      </w:r>
    </w:p>
    <w:p>
      <w:pPr>
        <w:pStyle w:val="Heading1"/>
      </w:pPr>
      <w:r>
        <w:t>Model and platform choices</w:t>
      </w:r>
    </w:p>
    <w:p>
      <w:pPr>
        <w:pStyle w:val="Heading3"/>
      </w:pPr>
      <w:r>
        <w:t>Q7. Why not use EnergyPlus as the entire solution?</w:t>
      </w:r>
    </w:p>
    <w:p>
      <w:pPr>
        <w:spacing w:after="160" w:line="269" w:lineRule="auto"/>
      </w:pPr>
      <w:r>
        <w:t>EnergyPlus is a mature engine for building and HVAC simulation. The RainForest is an unusual, highly coupled biome. A useful model still needs geometry, system representation, parameter calibration, and validation with facility data. The PoC treats EnergyPlus as one candidate or component. It compares it with lower-order and data-driven alternatives.</w:t>
      </w:r>
    </w:p>
    <w:p>
      <w:pPr>
        <w:pStyle w:val="Heading3"/>
      </w:pPr>
      <w:r>
        <w:t>Q8. Why are you considering an LSTM?</w:t>
      </w:r>
    </w:p>
    <w:p>
      <w:pPr>
        <w:spacing w:after="160" w:line="269" w:lineRule="auto"/>
      </w:pPr>
      <w:r>
        <w:t>An LSTM can represent nonlinear time relationships and delayed responses in long sensor histories. It may be useful for repeated strategy evaluation. It also has limits. It needs synchronized causal inputs. It can fail outside its training region. It is harder to interpret. The PoC benchmarks it. It does not assume that LSTM is the answer.</w:t>
      </w:r>
    </w:p>
    <w:p>
      <w:pPr>
        <w:pStyle w:val="Heading3"/>
      </w:pPr>
      <w:r>
        <w:t>Q9. How can a new mathematical engine be added later?</w:t>
      </w:r>
    </w:p>
    <w:p>
      <w:pPr>
        <w:spacing w:after="160" w:line="269" w:lineRule="auto"/>
      </w:pPr>
      <w:r>
        <w:t>Every engine uses the same input and output contract. It receives an initial state, a 64-control schedule, context, and a horizon. It returns 36-channel trajectories, uncertainty, constraints, energy indicators, and diagnostics. An adapter can wrap a state-space model, a machine-learning service, EnergyPlus, Modelica, or an FMI-compatible model.</w:t>
      </w:r>
    </w:p>
    <w:p>
      <w:pPr>
        <w:pageBreakBefore/>
        <w:spacing w:after="60"/>
      </w:pPr>
      <w:r>
        <w:rPr>
          <w:rFonts w:ascii="Arimo" w:hAnsi="Arimo"/>
          <w:b/>
          <w:color w:val="E69B3A"/>
          <w:sz w:val="18"/>
        </w:rPr>
        <w:t>PREPARED Q&amp;A  •  GROUP 4 OF 5</w:t>
      </w:r>
    </w:p>
    <w:p>
      <w:pPr>
        <w:pStyle w:val="Heading1"/>
      </w:pPr>
      <w:r>
        <w:t>Value, resources, and schedule</w:t>
      </w:r>
    </w:p>
    <w:p>
      <w:pPr>
        <w:pStyle w:val="Heading3"/>
      </w:pPr>
      <w:r>
        <w:t>Q10. How will you prove energy savings?</w:t>
      </w:r>
    </w:p>
    <w:p>
      <w:pPr>
        <w:spacing w:after="160" w:line="269" w:lineRule="auto"/>
      </w:pPr>
      <w:r>
        <w:t>The PoC first defines energy indicators. It calibrates them with available equipment or facility energy data. Then it compares strategies under identical scenarios. A real savings claim needs an approved baseline and controlled operational validation. That validation must account for weather and operating differences. No percentage or dollar figure comes before that evidence.</w:t>
      </w:r>
    </w:p>
    <w:p>
      <w:pPr>
        <w:pStyle w:val="Heading3"/>
      </w:pPr>
      <w:r>
        <w:t>Q11. What resources does the Proof of Concept require?</w:t>
      </w:r>
    </w:p>
    <w:p>
      <w:pPr>
        <w:spacing w:after="160" w:line="269" w:lineRule="auto"/>
      </w:pPr>
      <w:r>
        <w:t>The essential resources are authorized access to synchronized control, sensor, weather, operating-context, and energy data. We also need regular time with an operations liaison, implementation effort, and ordinary computing. The first four weeks show whether we need extra instruments or specialized software.</w:t>
      </w:r>
    </w:p>
    <w:p>
      <w:pPr>
        <w:pStyle w:val="Heading3"/>
      </w:pPr>
      <w:r>
        <w:t>Q12. Why is the schedule sixteen weeks?</w:t>
      </w:r>
    </w:p>
    <w:p>
      <w:pPr>
        <w:spacing w:after="160" w:line="269" w:lineRule="auto"/>
      </w:pPr>
      <w:r>
        <w:t>The sixteen-week schedule has four stages. They are data alignment, model benchmarking, platform integration, and historical replay with operator review. It gives us time to assess our engine and its limits. It also documents the scenarios and prepares a shared testbed. The scope ends with a clear Phase 2 decision.</w:t>
      </w:r>
    </w:p>
    <w:p>
      <w:pPr>
        <w:pageBreakBefore/>
        <w:spacing w:after="60"/>
      </w:pPr>
      <w:r>
        <w:rPr>
          <w:rFonts w:ascii="Arimo" w:hAnsi="Arimo"/>
          <w:b/>
          <w:color w:val="E69B3A"/>
          <w:sz w:val="18"/>
        </w:rPr>
        <w:t>PREPARED Q&amp;A  •  GROUP 5 OF 5</w:t>
      </w:r>
    </w:p>
    <w:p>
      <w:pPr>
        <w:pStyle w:val="Heading1"/>
      </w:pPr>
      <w:r>
        <w:t>Students, publications, and governance</w:t>
      </w:r>
    </w:p>
    <w:p>
      <w:pPr>
        <w:pStyle w:val="Heading3"/>
      </w:pPr>
      <w:r>
        <w:t>Q13. How will you prevent student code from creating operational risk?</w:t>
      </w:r>
    </w:p>
    <w:p>
      <w:pPr>
        <w:spacing w:after="160" w:line="269" w:lineRule="auto"/>
      </w:pPr>
      <w:r>
        <w:t>Students work with offline benchmark scenarios and a documented strategy interface. Their code does not connect to facility equipment. Submissions can run in isolated containers with resource limits. The platform checks outputs and keeps a complete run record. Only Biosphere 2 operations can authorize any later field evaluation.</w:t>
      </w:r>
    </w:p>
    <w:p>
      <w:pPr>
        <w:pStyle w:val="Heading3"/>
      </w:pPr>
      <w:r>
        <w:t>Q14. How will publications, data rights, and intellectual property be managed?</w:t>
      </w:r>
    </w:p>
    <w:p>
      <w:pPr>
        <w:spacing w:after="160" w:line="269" w:lineRule="auto"/>
      </w:pPr>
      <w:r>
        <w:t>The program should set written rules before external participation. The rules should say which datasets can be shared. They should protect sensitive operating information. They should define review before publication. They should also follow University and Biosphere 2 policy on authorship and intellectual property. Reproducible results make these decisions easier to audit.</w:t>
      </w:r>
    </w:p>
    <w:p>
      <w:pPr>
        <w:pStyle w:val="Heading3"/>
      </w:pPr>
      <w:r>
        <w:t>Q15. Who owns and maintains the platform after the PoC?</w:t>
      </w:r>
    </w:p>
    <w:p>
      <w:pPr>
        <w:spacing w:after="160" w:line="269" w:lineRule="auto"/>
      </w:pPr>
      <w:r>
        <w:t>The PoC ends with a governance recommendation. It does not assume an owner. A sustainable arrangement needs a Biosphere 2 operational owner and a named technical maintainer. It also needs release criteria for models and scenarios, a review calendar, and a process for incidents and outdated engines. Leadership can decide where that structure belongs.</w:t>
      </w:r>
    </w:p>
    <w:p>
      <w:pPr>
        <w:pageBreakBefore/>
        <w:spacing w:after="60"/>
      </w:pPr>
      <w:r>
        <w:rPr>
          <w:rFonts w:ascii="Arimo" w:hAnsi="Arimo"/>
          <w:b/>
          <w:color w:val="167A55"/>
          <w:sz w:val="18"/>
        </w:rPr>
        <w:t>SOURCES AND HANDOFF</w:t>
      </w:r>
    </w:p>
    <w:p>
      <w:pPr>
        <w:pStyle w:val="Heading1"/>
      </w:pPr>
      <w:r>
        <w:t>References and project resources</w:t>
      </w:r>
    </w:p>
    <w:p>
      <w:pPr>
        <w:pStyle w:val="ListBullet"/>
        <w:spacing w:after="80"/>
      </w:pPr>
      <w:r>
        <w:rPr>
          <w:rFonts w:ascii="Arimo" w:hAnsi="Arimo"/>
          <w:color w:val="167A55"/>
          <w:sz w:val="19"/>
        </w:rPr>
        <w:t>https://biosphere2.org/about/about-biosphere-2</w:t>
      </w:r>
    </w:p>
    <w:p>
      <w:pPr>
        <w:pStyle w:val="ListBullet"/>
        <w:spacing w:after="80"/>
      </w:pPr>
      <w:r>
        <w:rPr>
          <w:rFonts w:ascii="Arimo" w:hAnsi="Arimo"/>
          <w:color w:val="167A55"/>
          <w:sz w:val="19"/>
        </w:rPr>
        <w:t>https://rainforest-virtual-proving-ground.bolt.linkpc.net/</w:t>
      </w:r>
    </w:p>
    <w:p>
      <w:pPr>
        <w:pStyle w:val="ListBullet"/>
        <w:spacing w:after="80"/>
      </w:pPr>
      <w:r>
        <w:rPr>
          <w:rFonts w:ascii="Arimo" w:hAnsi="Arimo"/>
          <w:color w:val="167A55"/>
          <w:sz w:val="19"/>
        </w:rPr>
        <w:t>https://fmi-standard.org/docs/main/</w:t>
      </w:r>
    </w:p>
    <w:p>
      <w:pPr>
        <w:pStyle w:val="ListBullet"/>
        <w:spacing w:after="80"/>
      </w:pPr>
      <w:r>
        <w:rPr>
          <w:rFonts w:ascii="Arimo" w:hAnsi="Arimo"/>
          <w:color w:val="167A55"/>
          <w:sz w:val="19"/>
        </w:rPr>
        <w:t>https://energyplus.net/</w:t>
      </w:r>
    </w:p>
    <w:p>
      <w:pPr>
        <w:pStyle w:val="ListBullet"/>
        <w:spacing w:after="80"/>
      </w:pPr>
      <w:r>
        <w:rPr>
          <w:rFonts w:ascii="Arimo" w:hAnsi="Arimo"/>
          <w:color w:val="167A55"/>
          <w:sz w:val="19"/>
        </w:rPr>
        <w:t>https://simulationresearch.lbl.gov/modelica/</w:t>
      </w:r>
    </w:p>
    <w:p>
      <w:pPr>
        <w:pStyle w:val="ListBullet"/>
        <w:spacing w:after="80"/>
      </w:pPr>
      <w:r>
        <w:rPr>
          <w:rFonts w:ascii="Arimo" w:hAnsi="Arimo"/>
          <w:color w:val="167A55"/>
          <w:sz w:val="19"/>
        </w:rPr>
        <w:t>https://ibpsa.github.io/project1-boptest/index.html</w:t>
      </w:r>
    </w:p>
    <w:p>
      <w:pPr>
        <w:pStyle w:val="ListBullet"/>
        <w:spacing w:after="80"/>
      </w:pPr>
      <w:r>
        <w:rPr>
          <w:rFonts w:ascii="Arimo" w:hAnsi="Arimo"/>
          <w:color w:val="167A55"/>
          <w:sz w:val="19"/>
        </w:rPr>
        <w:t>https://ibpsa.github.io/project1-boptest/docs-userguide/introduction.html</w:t>
      </w:r>
    </w:p>
    <w:p>
      <w:pPr>
        <w:pStyle w:val="ListBullet"/>
        <w:spacing w:after="80"/>
      </w:pPr>
      <w:r>
        <w:rPr>
          <w:rFonts w:ascii="Arimo" w:hAnsi="Arimo"/>
          <w:color w:val="167A55"/>
          <w:sz w:val="19"/>
        </w:rPr>
        <w:t>https://data.ashrae.org/standard140/</w:t>
      </w:r>
    </w:p>
    <w:p>
      <w:pPr>
        <w:pStyle w:val="ListBullet"/>
        <w:spacing w:after="80"/>
      </w:pPr>
      <w:r>
        <w:rPr>
          <w:rFonts w:ascii="Arimo" w:hAnsi="Arimo"/>
          <w:color w:val="167A55"/>
          <w:sz w:val="19"/>
        </w:rPr>
        <w:t>https://biosphere2.org/research/user-facility-information/energy-and-water</w:t>
      </w:r>
    </w:p>
    <w:p>
      <w:pPr>
        <w:pStyle w:val="Heading2"/>
      </w:pPr>
      <w:r>
        <w:t>Live illustrative interface</w:t>
      </w:r>
    </w:p>
    <w:p>
      <w:r>
        <w:rPr>
          <w:rFonts w:ascii="Arimo" w:hAnsi="Arimo"/>
          <w:color w:val="167A55"/>
          <w:sz w:val="20"/>
        </w:rPr>
        <w:t>https://rainforest-virtual-proving-ground.bolt.linkpc.net/</w:t>
      </w:r>
    </w:p>
    <w:p>
      <w:pPr>
        <w:spacing w:after="200"/>
      </w:pPr>
      <w:r>
        <w:t>Disclosure: the current interface demonstrates the strategy-upload and review workflow. Its scenario is illustrative and not yet generated by a validated causal model.</w:t>
      </w:r>
    </w:p>
    <w:p>
      <w:pPr>
        <w:pStyle w:val="Heading2"/>
      </w:pPr>
      <w:r>
        <w:t>Final sentence to memorize</w:t>
      </w:r>
    </w:p>
    <w:p>
      <w:r>
        <w:rPr>
          <w:rFonts w:ascii="Arimo" w:hAnsi="Arimo"/>
          <w:b/>
          <w:sz w:val="24"/>
        </w:rPr>
        <w:t>The proposed PoC would support existing climate-control research and give students a shared environment for testing and improving their projects.</w:t>
      </w:r>
    </w:p>
    <w:sectPr w:rsidR="00FC693F" w:rsidRPr="0006063C" w:rsidSect="00034616">
      <w:headerReference w:type="default" r:id="rId9"/>
      <w:footerReference w:type="default" r:id="rId10"/>
      <w:pgSz w:w="12240" w:h="15840"/>
      <w:pgMar w:top="893" w:right="1037" w:bottom="893"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mo" w:hAnsi="Arimo"/>
        <w:color w:val="5E706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mo" w:hAnsi="Arimo"/>
        <w:b/>
        <w:color w:val="5E7068"/>
        <w:sz w:val="15"/>
      </w:rPr>
      <w:t>RAINFOREST VIRTUAL PROVING GROUND  /  SPEAKER 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6" w:lineRule="auto"/>
    </w:pPr>
    <w:rPr>
      <w:rFonts w:ascii="Arimo" w:hAnsi="Arimo"/>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Arimo" w:hAnsi="Arimo"/>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mo" w:hAnsi="Arimo"/>
      <w:b/>
      <w:bCs/>
      <w:color w:val="111111"/>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mo" w:hAnsi="Arimo"/>
      <w:b/>
      <w:bCs/>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mo" w:hAnsi="Arimo"/>
      <w:b/>
      <w:color w:val="11111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Virtual Proving Ground for RainForest Climate Strategies — Speaker Script</dc:title>
  <dc:subject>Biosphere 2 RainForest Digital Twin Proof of Concept</dc:subject>
  <dc:creator>Dimitri Bolt</dc:creator>
  <cp:keywords>Biosphere 2, RainForest, digital twin, optimal control, simulator, speaker script</cp:keywords>
  <dc:description>generated by python-docx</dc:description>
  <cp:lastModifiedBy/>
  <cp:revision>1</cp:revision>
  <dcterms:created xsi:type="dcterms:W3CDTF">2013-12-23T23:15:00Z</dcterms:created>
  <dcterms:modified xsi:type="dcterms:W3CDTF">2013-12-23T23:15:00Z</dcterms:modified>
  <cp:category/>
</cp:coreProperties>
</file>