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Bdr>
          <w:bottom w:val="single" w:sz="24" w:space="1" w:color="2FAD79"/>
        </w:pBdr>
      </w:pPr>
    </w:p>
    <w:p>
      <w:pPr>
        <w:spacing w:before="360" w:after="200"/>
        <w:jc w:val="left"/>
      </w:pPr>
      <w:r>
        <w:rPr>
          <w:rFonts w:ascii="Arimo" w:hAnsi="Arimo"/>
          <w:b/>
          <w:color w:val="111111"/>
          <w:sz w:val="56"/>
        </w:rPr>
        <w:t>Virtual Proving Ground for RainForest Climate Strategies</w:t>
      </w:r>
    </w:p>
    <w:p>
      <w:pPr>
        <w:spacing w:after="400"/>
      </w:pPr>
      <w:r>
        <w:rPr>
          <w:rFonts w:ascii="Arimo" w:hAnsi="Arimo"/>
          <w:color w:val="5E7068"/>
          <w:sz w:val="30"/>
        </w:rPr>
        <w:t>Speaker script, delivery cues, and prepared Q&amp;A</w:t>
      </w:r>
    </w:p>
    <w:p>
      <w:pPr>
        <w:jc w:val="center"/>
      </w:pPr>
      <w:r>
        <w:drawing>
          <wp:inline xmlns:a="http://schemas.openxmlformats.org/drawingml/2006/main" xmlns:pic="http://schemas.openxmlformats.org/drawingml/2006/picture">
            <wp:extent cx="6400800" cy="3600450"/>
            <wp:docPr id="1" name="Picture 1"/>
            <wp:cNvGraphicFramePr>
              <a:graphicFrameLocks noChangeAspect="1"/>
            </wp:cNvGraphicFramePr>
            <a:graphic>
              <a:graphicData uri="http://schemas.openxmlformats.org/drawingml/2006/picture">
                <pic:pic>
                  <pic:nvPicPr>
                    <pic:cNvPr id="0" name="app_initial.png"/>
                    <pic:cNvPicPr/>
                  </pic:nvPicPr>
                  <pic:blipFill>
                    <a:blip r:embed="rId11"/>
                    <a:stretch>
                      <a:fillRect/>
                    </a:stretch>
                  </pic:blipFill>
                  <pic:spPr>
                    <a:xfrm>
                      <a:off x="0" y="0"/>
                      <a:ext cx="6400800" cy="3600450"/>
                    </a:xfrm>
                    <a:prstGeom prst="rect"/>
                  </pic:spPr>
                </pic:pic>
              </a:graphicData>
            </a:graphic>
          </wp:inline>
        </w:drawing>
      </w:r>
    </w:p>
    <w:p>
      <w:pPr>
        <w:spacing w:before="320" w:after="40"/>
      </w:pPr>
      <w:r>
        <w:rPr>
          <w:rFonts w:ascii="Arimo" w:hAnsi="Arimo"/>
          <w:b/>
          <w:color w:val="111111"/>
          <w:sz w:val="24"/>
        </w:rPr>
        <w:t>Dimitri Bolt</w:t>
      </w:r>
    </w:p>
    <w:p>
      <w:pPr>
        <w:spacing w:after="200"/>
      </w:pPr>
      <w:r>
        <w:rPr>
          <w:rFonts w:ascii="Arimo" w:hAnsi="Arimo"/>
          <w:color w:val="5E7068"/>
          <w:sz w:val="21"/>
        </w:rPr>
        <w:t>Academic supervision: Dr. Ildar Gabitov</w:t>
      </w:r>
    </w:p>
    <w:tbl>
      <w:tblPr>
        <w:tblW w:type="auto" w:w="0"/>
        <w:jc w:val="left"/>
        <w:tblLayout w:type="fixed"/>
        <w:tblLook w:firstColumn="1" w:firstRow="1" w:lastColumn="0" w:lastRow="0" w:noHBand="0" w:noVBand="1" w:val="04A0"/>
      </w:tblPr>
      <w:tblGrid>
        <w:gridCol w:w="3024"/>
        <w:gridCol w:w="7056"/>
      </w:tblGrid>
      <w:tr>
        <w:tc>
          <w:tcPr>
            <w:tcW w:type="dxa" w:w="5083"/>
            <w:shd w:fill="EAF5EF"/>
            <w:tcMar>
              <w:top w:w="70" w:type="dxa"/>
              <w:start w:w="100" w:type="dxa"/>
              <w:bottom w:w="70" w:type="dxa"/>
              <w:end w:w="100" w:type="dxa"/>
            </w:tcMar>
            <w:vAlign w:val="center"/>
            <w:tcBorders>
              <w:bottom w:val="single" w:sz="4" w:color="FFFFFF"/>
            </w:tcBorders>
          </w:tcPr>
          <w:p>
            <w:r>
              <w:rPr>
                <w:rFonts w:ascii="Arimo" w:hAnsi="Arimo"/>
                <w:b/>
                <w:sz w:val="19"/>
              </w:rPr>
              <w:t>Target</w:t>
            </w:r>
          </w:p>
        </w:tc>
        <w:tc>
          <w:tcPr>
            <w:tcW w:type="dxa" w:w="5083"/>
            <w:shd w:fill="F4F7F3"/>
            <w:tcMar>
              <w:top w:w="70" w:type="dxa"/>
              <w:start w:w="100" w:type="dxa"/>
              <w:bottom w:w="70" w:type="dxa"/>
              <w:end w:w="100" w:type="dxa"/>
            </w:tcMar>
            <w:vAlign w:val="center"/>
            <w:tcBorders>
              <w:bottom w:val="single" w:sz="4" w:color="FFFFFF"/>
            </w:tcBorders>
          </w:tcPr>
          <w:p>
            <w:r>
              <w:rPr>
                <w:rFonts w:ascii="Arimo" w:hAnsi="Arimo"/>
                <w:sz w:val="19"/>
              </w:rPr>
              <w:t>18–20 minutes; scripted maximum 19:35</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Audience</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Biosphere 2 leadership</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Decision</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Approve a scoped 16-week offline Proof of Concept</w:t>
            </w:r>
          </w:p>
        </w:tc>
      </w:tr>
      <w:tr>
        <w:tc>
          <w:tcPr>
            <w:tcW w:type="dxa" w:w="3024"/>
            <w:shd w:fill="EAF5EF"/>
            <w:tcMar>
              <w:top w:w="70" w:type="dxa"/>
              <w:start w:w="100" w:type="dxa"/>
              <w:bottom w:w="70" w:type="dxa"/>
              <w:end w:w="100" w:type="dxa"/>
            </w:tcMar>
            <w:vAlign w:val="center"/>
            <w:tcBorders>
              <w:bottom w:val="single" w:sz="4" w:color="FFFFFF"/>
            </w:tcBorders>
          </w:tcPr>
          <w:p>
            <w:r>
              <w:rPr>
                <w:rFonts w:ascii="Arimo" w:hAnsi="Arimo"/>
                <w:b/>
                <w:sz w:val="19"/>
              </w:rPr>
              <w:t>Demo status</w:t>
            </w:r>
          </w:p>
        </w:tc>
        <w:tc>
          <w:tcPr>
            <w:tcW w:type="dxa" w:w="7056"/>
            <w:shd w:fill="F4F7F3"/>
            <w:tcMar>
              <w:top w:w="70" w:type="dxa"/>
              <w:start w:w="100" w:type="dxa"/>
              <w:bottom w:w="70" w:type="dxa"/>
              <w:end w:w="100" w:type="dxa"/>
            </w:tcMar>
            <w:vAlign w:val="center"/>
            <w:tcBorders>
              <w:bottom w:val="single" w:sz="4" w:color="FFFFFF"/>
            </w:tcBorders>
          </w:tcPr>
          <w:p>
            <w:r>
              <w:rPr>
                <w:rFonts w:ascii="Arimo" w:hAnsi="Arimo"/>
                <w:sz w:val="19"/>
              </w:rPr>
              <w:t>Illustrative workflow; not yet model-generated</w:t>
            </w:r>
          </w:p>
        </w:tc>
      </w:tr>
    </w:tbl>
    <w:p>
      <w:pPr>
        <w:spacing w:before="200"/>
        <w:jc w:val="center"/>
      </w:pPr>
      <w:r>
        <w:rPr>
          <w:rFonts w:ascii="Arimo" w:hAnsi="Arimo"/>
          <w:color w:val="167A55"/>
          <w:sz w:val="19"/>
        </w:rPr>
        <w:t>https://rainforest-virtual-proving-ground.dimitribolt.chatgpt.site/</w:t>
      </w:r>
    </w:p>
    <w:p>
      <w:pPr>
        <w:pageBreakBefore/>
        <w:spacing w:after="60"/>
      </w:pPr>
      <w:r>
        <w:rPr>
          <w:rFonts w:ascii="Arimo" w:hAnsi="Arimo"/>
          <w:b/>
          <w:color w:val="167A55"/>
          <w:sz w:val="18"/>
        </w:rPr>
        <w:t>ONE-PAGE MEMORY MAP</w:t>
      </w:r>
    </w:p>
    <w:p>
      <w:pPr>
        <w:pStyle w:val="Heading1"/>
      </w:pPr>
      <w:r>
        <w:t>The story in six beats</w:t>
      </w:r>
    </w:p>
    <w:p>
      <w:pPr>
        <w:spacing w:after="200"/>
      </w:pPr>
      <w:r>
        <w:rPr>
          <w:rFonts w:ascii="Arimo" w:hAnsi="Arimo"/>
          <w:b/>
          <w:sz w:val="23"/>
        </w:rPr>
        <w:t>Thesis: a control strategy has operational meaning only when its consequences can be tested against validated dynamics, constraints, and uncertainty.</w:t>
      </w:r>
    </w:p>
    <w:tbl>
      <w:tblPr>
        <w:tblW w:type="auto" w:w="0"/>
        <w:jc w:val="center"/>
        <w:tblLayout w:type="fixed"/>
        <w:tblLook w:firstColumn="1" w:firstRow="1" w:lastColumn="0" w:lastRow="0" w:noHBand="0" w:noVBand="1" w:val="04A0"/>
      </w:tblPr>
      <w:tblGrid>
        <w:gridCol w:w="3389"/>
        <w:gridCol w:w="3389"/>
        <w:gridCol w:w="3389"/>
      </w:tblGrid>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01</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Problem</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Optimization can generate schedules, but there is no defensible way to test their consequences yet.</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02</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Missing map</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A validated forward model connects 64 controls and context to the next 36-channel climate state.</w:t>
            </w:r>
          </w:p>
        </w:tc>
      </w:tr>
      <w:tr>
        <w:tc>
          <w:tcPr>
            <w:tcW w:type="dxa" w:w="835"/>
            <w:tcMar>
              <w:top w:w="85" w:type="dxa"/>
              <w:start w:w="90" w:type="dxa"/>
              <w:bottom w:w="85" w:type="dxa"/>
              <w:end w:w="90" w:type="dxa"/>
            </w:tcMar>
            <w:vAlign w:val="center"/>
            <w:tcBorders>
              <w:bottom w:val="single" w:sz="5" w:color="C9D9CF"/>
            </w:tcBorders>
            <w:shd w:fill="E69B3A"/>
          </w:tcPr>
          <w:p>
            <w:pPr>
              <w:jc w:val="center"/>
            </w:pPr>
            <w:r>
              <w:rPr>
                <w:rFonts w:ascii="Arimo" w:hAnsi="Arimo"/>
                <w:b/>
                <w:color w:val="FFFFFF"/>
                <w:sz w:val="22"/>
              </w:rPr>
              <w:t>03</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Proving ground</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Load a timestamped strategy, replay it offline, score it, preserve the evidence, and keep operators in control.</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04</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Modular science</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Benchmark gray-box, temporal ML, physics, and hybrid engines behind one stable contract.</w:t>
            </w:r>
          </w:p>
        </w:tc>
      </w:tr>
      <w:tr>
        <w:tc>
          <w:tcPr>
            <w:tcW w:type="dxa" w:w="835"/>
            <w:tcMar>
              <w:top w:w="85" w:type="dxa"/>
              <w:start w:w="90" w:type="dxa"/>
              <w:bottom w:w="85" w:type="dxa"/>
              <w:end w:w="90" w:type="dxa"/>
            </w:tcMar>
            <w:vAlign w:val="center"/>
            <w:tcBorders>
              <w:bottom w:val="single" w:sz="5" w:color="C9D9CF"/>
            </w:tcBorders>
            <w:shd w:fill="167A55"/>
          </w:tcPr>
          <w:p>
            <w:pPr>
              <w:jc w:val="center"/>
            </w:pPr>
            <w:r>
              <w:rPr>
                <w:rFonts w:ascii="Arimo" w:hAnsi="Arimo"/>
                <w:b/>
                <w:color w:val="FFFFFF"/>
                <w:sz w:val="22"/>
              </w:rPr>
              <w:t>05</w:t>
            </w:r>
          </w:p>
        </w:tc>
        <w:tc>
          <w:tcPr>
            <w:tcW w:type="dxa" w:w="1656"/>
            <w:tcMar>
              <w:top w:w="85" w:type="dxa"/>
              <w:start w:w="90" w:type="dxa"/>
              <w:bottom w:w="85" w:type="dxa"/>
              <w:end w:w="90" w:type="dxa"/>
            </w:tcMar>
            <w:vAlign w:val="center"/>
            <w:tcBorders>
              <w:bottom w:val="single" w:sz="5" w:color="C9D9CF"/>
            </w:tcBorders>
            <w:shd w:fill="EAF5EF"/>
          </w:tcPr>
          <w:p>
            <w:r>
              <w:rPr>
                <w:rFonts w:ascii="Arimo" w:hAnsi="Arimo"/>
                <w:b/>
                <w:sz w:val="20"/>
              </w:rPr>
              <w:t>Scale the work</w:t>
            </w:r>
          </w:p>
        </w:tc>
        <w:tc>
          <w:tcPr>
            <w:tcW w:type="dxa" w:w="7560"/>
            <w:tcMar>
              <w:top w:w="85" w:type="dxa"/>
              <w:start w:w="90" w:type="dxa"/>
              <w:bottom w:w="85" w:type="dxa"/>
              <w:end w:w="90" w:type="dxa"/>
            </w:tcMar>
            <w:vAlign w:val="center"/>
            <w:tcBorders>
              <w:bottom w:val="single" w:sz="5" w:color="C9D9CF"/>
            </w:tcBorders>
            <w:shd w:fill="EAF5EF"/>
          </w:tcPr>
          <w:p>
            <w:r>
              <w:rPr>
                <w:rFonts w:ascii="Arimo" w:hAnsi="Arimo"/>
                <w:sz w:val="19"/>
              </w:rPr>
              <w:t>Common scenarios support hackathons, mini-research, comparable results, and publication candidates.</w:t>
            </w:r>
          </w:p>
        </w:tc>
      </w:tr>
      <w:tr>
        <w:tc>
          <w:tcPr>
            <w:tcW w:type="dxa" w:w="835"/>
            <w:tcMar>
              <w:top w:w="85" w:type="dxa"/>
              <w:start w:w="90" w:type="dxa"/>
              <w:bottom w:w="85" w:type="dxa"/>
              <w:end w:w="90" w:type="dxa"/>
            </w:tcMar>
            <w:vAlign w:val="center"/>
            <w:tcBorders>
              <w:bottom w:val="single" w:sz="5" w:color="C9D9CF"/>
            </w:tcBorders>
            <w:shd w:fill="E69B3A"/>
          </w:tcPr>
          <w:p>
            <w:pPr>
              <w:jc w:val="center"/>
            </w:pPr>
            <w:r>
              <w:rPr>
                <w:rFonts w:ascii="Arimo" w:hAnsi="Arimo"/>
                <w:b/>
                <w:color w:val="FFFFFF"/>
                <w:sz w:val="22"/>
              </w:rPr>
              <w:t>06</w:t>
            </w:r>
          </w:p>
        </w:tc>
        <w:tc>
          <w:tcPr>
            <w:tcW w:type="dxa" w:w="1656"/>
            <w:tcMar>
              <w:top w:w="85" w:type="dxa"/>
              <w:start w:w="90" w:type="dxa"/>
              <w:bottom w:w="85" w:type="dxa"/>
              <w:end w:w="90" w:type="dxa"/>
            </w:tcMar>
            <w:vAlign w:val="center"/>
            <w:tcBorders>
              <w:bottom w:val="single" w:sz="5" w:color="C9D9CF"/>
            </w:tcBorders>
            <w:shd w:fill="F4F7F3"/>
          </w:tcPr>
          <w:p>
            <w:r>
              <w:rPr>
                <w:rFonts w:ascii="Arimo" w:hAnsi="Arimo"/>
                <w:b/>
                <w:sz w:val="20"/>
              </w:rPr>
              <w:t>Decision</w:t>
            </w:r>
          </w:p>
        </w:tc>
        <w:tc>
          <w:tcPr>
            <w:tcW w:type="dxa" w:w="7560"/>
            <w:tcMar>
              <w:top w:w="85" w:type="dxa"/>
              <w:start w:w="90" w:type="dxa"/>
              <w:bottom w:w="85" w:type="dxa"/>
              <w:end w:w="90" w:type="dxa"/>
            </w:tcMar>
            <w:vAlign w:val="center"/>
            <w:tcBorders>
              <w:bottom w:val="single" w:sz="5" w:color="C9D9CF"/>
            </w:tcBorders>
            <w:shd w:fill="F4F7F3"/>
          </w:tcPr>
          <w:p>
            <w:r>
              <w:rPr>
                <w:rFonts w:ascii="Arimo" w:hAnsi="Arimo"/>
                <w:sz w:val="19"/>
              </w:rPr>
              <w:t>Approve a 16-week offline PoC with an operations liaison and synchronized data access.</w:t>
            </w:r>
          </w:p>
        </w:tc>
      </w:tr>
    </w:tbl>
    <w:p/>
    <w:p>
      <w:pPr>
        <w:pageBreakBefore w:val="0"/>
        <w:spacing w:after="60"/>
      </w:pPr>
      <w:r>
        <w:rPr>
          <w:rFonts w:ascii="Arimo" w:hAnsi="Arimo"/>
          <w:b/>
          <w:color w:val="E69B3A"/>
          <w:sz w:val="18"/>
        </w:rPr>
        <w:t>THREE PHRASES TO PRESERVE VERBATIM</w:t>
      </w:r>
    </w:p>
    <w:p>
      <w:pPr>
        <w:pStyle w:val="ListBullet"/>
        <w:spacing w:after="60"/>
      </w:pPr>
      <w:r>
        <w:t>This scenario is illustrative and not yet model-generated.</w:t>
      </w:r>
    </w:p>
    <w:p>
      <w:pPr>
        <w:pStyle w:val="ListBullet"/>
        <w:spacing w:after="60"/>
      </w:pPr>
      <w:r>
        <w:t>A prediction supports a decision. It does not grant operational authority.</w:t>
      </w:r>
    </w:p>
    <w:p>
      <w:pPr>
        <w:pStyle w:val="ListBullet"/>
        <w:spacing w:after="60"/>
      </w:pPr>
      <w:r>
        <w:t>No percentage or dollar savings figure should be claimed before calibrated evidence exists.</w:t>
      </w:r>
    </w:p>
    <w:p>
      <w:pPr>
        <w:pageBreakBefore/>
        <w:spacing w:after="60"/>
      </w:pPr>
      <w:r>
        <w:rPr>
          <w:rFonts w:ascii="Arimo" w:hAnsi="Arimo"/>
          <w:b/>
          <w:color w:val="167A55"/>
          <w:sz w:val="18"/>
        </w:rPr>
        <w:t>MAIN TALK  •  ACT 1 OF 6</w:t>
      </w:r>
    </w:p>
    <w:p>
      <w:pPr>
        <w:pStyle w:val="Heading1"/>
      </w:pPr>
      <w:r>
        <w:t>Act I — Why a simulator is necessary</w:t>
      </w:r>
    </w:p>
    <w:p>
      <w:pPr>
        <w:pStyle w:val="Heading2"/>
      </w:pPr>
      <w:r>
        <w:t>Slide 1 — Virtual Proving Ground for RainForest Climate Strategies</w:t>
      </w:r>
    </w:p>
    <w:p>
      <w:pPr>
        <w:spacing w:after="80"/>
      </w:pPr>
      <w:r>
        <w:rPr>
          <w:rFonts w:ascii="Arimo" w:hAnsi="Arimo"/>
          <w:b/>
          <w:color w:val="167A55"/>
          <w:sz w:val="16"/>
        </w:rPr>
        <w:t>TIME  0:55   •   STAGE CUE  Open slowly. Pause after the first sentence; end on the exact decision request.</w:t>
      </w:r>
    </w:p>
    <w:p>
      <w:pPr>
        <w:keepNext/>
        <w:spacing w:after="60"/>
      </w:pPr>
      <w:r>
        <w:rPr>
          <w:rFonts w:ascii="Arimo" w:hAnsi="Arimo"/>
          <w:b/>
          <w:color w:val="5E7068"/>
          <w:sz w:val="17"/>
        </w:rPr>
        <w:t xml:space="preserve">On-screen anchor: </w:t>
      </w:r>
      <w:r>
        <w:rPr>
          <w:rFonts w:ascii="Arimo" w:hAnsi="Arimo"/>
          <w:color w:val="5E7068"/>
          <w:sz w:val="17"/>
        </w:rPr>
        <w:t>64 scheduled controls · 36 climate channels · Offline evaluation before operator review</w:t>
      </w:r>
    </w:p>
    <w:p>
      <w:pPr>
        <w:spacing w:after="80" w:line="250" w:lineRule="auto"/>
      </w:pPr>
      <w:r>
        <w:rPr>
          <w:rFonts w:ascii="Arimo" w:hAnsi="Arimo"/>
          <w:sz w:val="20"/>
        </w:rPr>
        <w:t>Every optimal-control strategy for the RainForest is operationally incomplete until we can test its consequences. Today, a researcher can propose a sophisticated sequence of setpoints, fan commands, valve positions, and damper commands. The missing capability is a safe place to ask what that sequence will do to temperature, humidity, energy demand, and equipment stress before a real air handler receives it. I am proposing a Virtual Proving Ground for Biosphere 2. It would accept a scheduled strategy with 64 control values, simulate the response across 36 RainForest climate channels, expose constraint violations and uncertainty, and return evidence for human review. The decision I am asking for is a scoped, offline, sixteen-week Proof of Concept.</w:t>
      </w:r>
    </w:p>
    <w:p>
      <w:pPr>
        <w:pStyle w:val="Heading2"/>
      </w:pPr>
      <w:r>
        <w:t>Slide 2 — Optimal control without validated dynamics</w:t>
      </w:r>
    </w:p>
    <w:p>
      <w:pPr>
        <w:spacing w:after="80"/>
      </w:pPr>
      <w:r>
        <w:rPr>
          <w:rFonts w:ascii="Arimo" w:hAnsi="Arimo"/>
          <w:b/>
          <w:color w:val="167A55"/>
          <w:sz w:val="16"/>
        </w:rPr>
        <w:t>TIME  1:15   •   STAGE CUE  Point to the question mark. Stress that the problem is validation, not a shortage of algorithms.</w:t>
      </w:r>
    </w:p>
    <w:p>
      <w:pPr>
        <w:keepNext/>
        <w:spacing w:after="60"/>
      </w:pPr>
      <w:r>
        <w:rPr>
          <w:rFonts w:ascii="Arimo" w:hAnsi="Arimo"/>
          <w:b/>
          <w:color w:val="5E7068"/>
          <w:sz w:val="17"/>
        </w:rPr>
        <w:t xml:space="preserve">On-screen anchor: </w:t>
      </w:r>
      <w:r>
        <w:rPr>
          <w:rFonts w:ascii="Arimo" w:hAnsi="Arimo"/>
          <w:color w:val="5E7068"/>
          <w:sz w:val="17"/>
        </w:rPr>
        <w:t>A controller proposes actions · The facility response remains uncertain · Direct trial carries operational risk</w:t>
      </w:r>
    </w:p>
    <w:p>
      <w:pPr>
        <w:spacing w:after="80" w:line="250" w:lineRule="auto"/>
      </w:pPr>
      <w:r>
        <w:rPr>
          <w:rFonts w:ascii="Arimo" w:hAnsi="Arimo"/>
          <w:sz w:val="20"/>
        </w:rPr>
        <w:t>The central problem is not a shortage of optimization algorithms. We already know how to formulate PID control, model predictive control, and reinforcement learning. The central problem is that the RainForest does not yet have a validated forward model for testing these methods under common conditions. In optimal control, the objective function and its Lagrangian or Hamiltonian only become useful after we define the system dynamics, constraints, disturbances, and measurable state. Without those pieces, an optimizer can still produce numbers, but we cannot interpret those numbers as a reliable operating strategy. The problem resembles designing a route without a map of how the vehicle moves. The algorithm may be mathematically correct and still recommend a path that the real system cannot follow. A simulator supplies the missing map and creates a defensible boundary between mathematical invention and operational experimentation.</w:t>
      </w:r>
    </w:p>
    <w:p>
      <w:pPr>
        <w:pStyle w:val="Heading2"/>
      </w:pPr>
      <w:r>
        <w:t>Slide 3 — The missing forward model</w:t>
      </w:r>
    </w:p>
    <w:p>
      <w:pPr>
        <w:spacing w:after="80"/>
      </w:pPr>
      <w:r>
        <w:rPr>
          <w:rFonts w:ascii="Arimo" w:hAnsi="Arimo"/>
          <w:b/>
          <w:color w:val="167A55"/>
          <w:sz w:val="16"/>
        </w:rPr>
        <w:t>TIME  1:20   •   STAGE CUE  Read the symbols slowly: x-sub-k, u-sub-k, w-sub-k, F-theta. Do not derive the equation.</w:t>
      </w:r>
    </w:p>
    <w:p>
      <w:pPr>
        <w:keepNext/>
        <w:spacing w:after="60"/>
      </w:pPr>
      <w:r>
        <w:rPr>
          <w:rFonts w:ascii="Arimo" w:hAnsi="Arimo"/>
          <w:b/>
          <w:color w:val="5E7068"/>
          <w:sz w:val="17"/>
        </w:rPr>
        <w:t xml:space="preserve">On-screen anchor: </w:t>
      </w:r>
      <w:r>
        <w:rPr>
          <w:rFonts w:ascii="Arimo" w:hAnsi="Arimo"/>
          <w:color w:val="5E7068"/>
          <w:sz w:val="17"/>
        </w:rPr>
        <w:t>State: 36 temperature and humidity channels · Action: 64 absolute control values · Context: weather, time, prior state, operating mode</w:t>
      </w:r>
    </w:p>
    <w:p>
      <w:pPr>
        <w:spacing w:after="80" w:line="250" w:lineRule="auto"/>
      </w:pPr>
      <w:r>
        <w:rPr>
          <w:rFonts w:ascii="Arimo" w:hAnsi="Arimo"/>
          <w:sz w:val="20"/>
        </w:rPr>
        <w:t>This is the mathematical core. Let x sub k denote the measured climate state and u sub k denote the 64-component control vector at one simulation step. Weather and other external context enter through w sub k. The simulator estimates the next state through a forward map, x sub k plus one equals F theta of x sub k, u sub k, and w sub k. Once that map exists, we can evaluate a strategy against an objective that combines climate deviation, energy use, and equipment wear while enforcing hard limits. The exact form of F theta is not predetermined. It may be a gray-box state-space model, a temporal machine-learning model, a physics model, or a hybrid. What matters is a validated contract: given the same initial condition, action schedule, and context, each candidate engine must return comparable trajectories, uncertainty, constraint flags, and diagnostics.</w:t>
      </w:r>
    </w:p>
    <w:p>
      <w:pPr>
        <w:pStyle w:val="Heading2"/>
      </w:pPr>
      <w:r>
        <w:t>Slide 4 — Operational risk of direct experimentation</w:t>
      </w:r>
    </w:p>
    <w:p>
      <w:pPr>
        <w:spacing w:after="80"/>
      </w:pPr>
      <w:r>
        <w:rPr>
          <w:rFonts w:ascii="Arimo" w:hAnsi="Arimo"/>
          <w:b/>
          <w:color w:val="167A55"/>
          <w:sz w:val="16"/>
        </w:rPr>
        <w:t>TIME  1:05   •   STAGE CUE  Pause on 26 and about 20. Say that these figures establish facility context, not algorithm-specific risk.</w:t>
      </w:r>
    </w:p>
    <w:p>
      <w:pPr>
        <w:keepNext/>
        <w:spacing w:after="60"/>
      </w:pPr>
      <w:r>
        <w:rPr>
          <w:rFonts w:ascii="Arimo" w:hAnsi="Arimo"/>
          <w:b/>
          <w:color w:val="5E7068"/>
          <w:sz w:val="17"/>
        </w:rPr>
        <w:t xml:space="preserve">On-screen anchor: </w:t>
      </w:r>
      <w:r>
        <w:rPr>
          <w:rFonts w:ascii="Arimo" w:hAnsi="Arimo"/>
          <w:color w:val="5E7068"/>
          <w:sz w:val="17"/>
        </w:rPr>
        <w:t>Thermal and moisture inertia hide delayed effects · A safe local action can create a later system-level violation · Biosphere 2 depends on continuous environmental support</w:t>
      </w:r>
    </w:p>
    <w:p>
      <w:pPr>
        <w:spacing w:after="80" w:line="250" w:lineRule="auto"/>
      </w:pPr>
      <w:r>
        <w:rPr>
          <w:rFonts w:ascii="Arimo" w:hAnsi="Arimo"/>
          <w:sz w:val="20"/>
        </w:rPr>
        <w:t>Testing a new strategy directly on the biome is the wrong first experiment. Climate responses have delays. A setpoint change that looks harmless in the first few minutes may affect canopy temperature or relative humidity much later. Interactions among air handlers, fans, valves, and outdoor conditions make isolated intuition unreliable. Biosphere 2 describes a facility supported by twenty-six air handlers and notes that loss of power on a sunny day could irreparably damage biomes within about twenty minutes. That statement does not quantify the risk of a control algorithm, but it shows why environmental support deserves conservative testing. The Virtual Proving Ground would keep early experimentation offline. Operators would see predicted trajectories, confidence ranges, and violations before deciding whether any strategy deserves a controlled real-world trial.</w:t>
      </w:r>
    </w:p>
    <w:p>
      <w:pPr>
        <w:spacing w:before="40" w:after="160"/>
      </w:pPr>
      <w:r>
        <w:rPr>
          <w:rFonts w:ascii="Arimo" w:hAnsi="Arimo"/>
          <w:b/>
          <w:color w:val="5E7068"/>
          <w:sz w:val="17"/>
        </w:rPr>
        <w:t xml:space="preserve">Sources: </w:t>
      </w:r>
      <w:r>
        <w:rPr>
          <w:rFonts w:ascii="Arimo" w:hAnsi="Arimo"/>
          <w:color w:val="5E7068"/>
          <w:sz w:val="17"/>
        </w:rPr>
        <w:t>https://biosphere2.org/about/about-biosphere-2</w:t>
      </w:r>
    </w:p>
    <w:p>
      <w:pPr>
        <w:pageBreakBefore/>
        <w:spacing w:after="60"/>
      </w:pPr>
      <w:r>
        <w:rPr>
          <w:rFonts w:ascii="Arimo" w:hAnsi="Arimo"/>
          <w:b/>
          <w:color w:val="167A55"/>
          <w:sz w:val="18"/>
        </w:rPr>
        <w:t>MAIN TALK  •  ACT 2 OF 6</w:t>
      </w:r>
    </w:p>
    <w:p>
      <w:pPr>
        <w:pStyle w:val="Heading1"/>
      </w:pPr>
      <w:r>
        <w:t>Act II — What the proving ground does</w:t>
      </w:r>
    </w:p>
    <w:p>
      <w:pPr>
        <w:pStyle w:val="Heading2"/>
      </w:pPr>
      <w:r>
        <w:t>Slide 5 — Virtual Proving Ground architecture</w:t>
      </w:r>
    </w:p>
    <w:p>
      <w:pPr>
        <w:spacing w:after="80"/>
      </w:pPr>
      <w:r>
        <w:rPr>
          <w:rFonts w:ascii="Arimo" w:hAnsi="Arimo"/>
          <w:b/>
          <w:color w:val="167A55"/>
          <w:sz w:val="16"/>
        </w:rPr>
        <w:t>TIME  1:15   •   STAGE CUE  Trace the boxes left to right. Emphasize that strategy creation remains outside the platform.</w:t>
      </w:r>
    </w:p>
    <w:p>
      <w:pPr>
        <w:keepNext/>
        <w:spacing w:after="60"/>
      </w:pPr>
      <w:r>
        <w:rPr>
          <w:rFonts w:ascii="Arimo" w:hAnsi="Arimo"/>
          <w:b/>
          <w:color w:val="5E7068"/>
          <w:sz w:val="17"/>
        </w:rPr>
        <w:t xml:space="preserve">On-screen anchor: </w:t>
      </w:r>
      <w:r>
        <w:rPr>
          <w:rFonts w:ascii="Arimo" w:hAnsi="Arimo"/>
          <w:color w:val="5E7068"/>
          <w:sz w:val="17"/>
        </w:rPr>
        <w:t>Strategy file · Validation and scenario setup · Pluggable forward model</w:t>
      </w:r>
    </w:p>
    <w:p>
      <w:pPr>
        <w:spacing w:after="80" w:line="250" w:lineRule="auto"/>
      </w:pPr>
      <w:r>
        <w:rPr>
          <w:rFonts w:ascii="Arimo" w:hAnsi="Arimo"/>
          <w:sz w:val="20"/>
        </w:rPr>
        <w:t>The architecture has a simple separation of responsibilities. A student, researcher, or engineering team creates a strategy outside the platform. The strategy enters as a timestamped schedule of complete 64-value control vectors. The platform validates units, bounds, timestamps, and missing values. It then combines the schedule with an initial climate state and a weather or operating scenario. A selected simulation engine advances the 36-channel climate state through time. The evaluation layer calculates climate error, energy indicators, stability, constraint violations, and uncertainty. Finally, the interface lets an operator inspect the evidence and compare strategies. The platform does not generate, optimize, or silently rewrite the submitted strategy. It creates a consistent proving ground. This separation makes results reproducible and keeps authority with Biosphere 2 operations.</w:t>
      </w:r>
    </w:p>
    <w:p>
      <w:pPr>
        <w:pStyle w:val="Heading2"/>
      </w:pPr>
      <w:r>
        <w:t>Slide 6 — Climate strategy contract</w:t>
      </w:r>
    </w:p>
    <w:p>
      <w:pPr>
        <w:spacing w:after="80"/>
      </w:pPr>
      <w:r>
        <w:rPr>
          <w:rFonts w:ascii="Arimo" w:hAnsi="Arimo"/>
          <w:b/>
          <w:color w:val="167A55"/>
          <w:sz w:val="16"/>
        </w:rPr>
        <w:t>TIME  1:05   •   STAGE CUE  Point to the timestamps and complete vectors. Stress deterministic replay.</w:t>
      </w:r>
    </w:p>
    <w:p>
      <w:pPr>
        <w:keepNext/>
        <w:spacing w:after="60"/>
      </w:pPr>
      <w:r>
        <w:rPr>
          <w:rFonts w:ascii="Arimo" w:hAnsi="Arimo"/>
          <w:b/>
          <w:color w:val="5E7068"/>
          <w:sz w:val="17"/>
        </w:rPr>
        <w:t xml:space="preserve">On-screen anchor: </w:t>
      </w:r>
      <w:r>
        <w:rPr>
          <w:rFonts w:ascii="Arimo" w:hAnsi="Arimo"/>
          <w:color w:val="5E7068"/>
          <w:sz w:val="17"/>
        </w:rPr>
        <w:t>u(1), u(2), ... , u(N) · Each u(k) contains 64 absolute values · A value remains active until the next timestamp</w:t>
      </w:r>
    </w:p>
    <w:p>
      <w:pPr>
        <w:spacing w:after="80" w:line="250" w:lineRule="auto"/>
      </w:pPr>
      <w:r>
        <w:rPr>
          <w:rFonts w:ascii="Arimo" w:hAnsi="Arimo"/>
          <w:sz w:val="20"/>
        </w:rPr>
        <w:t>The strategy format is intentionally plain. At each timestamp, the file contains one complete vector u of 64 absolute values. These values represent fifteen temperature setpoints, seven supply-fan commands, and forty-two valve, damper, or related operating commands in the current inventory. A value remains active until the next timestamp. Using complete vectors avoids ambiguity about inherited settings and makes every replay deterministic. The first version can accept JSON and CSV. Before simulation, the platform checks the schema, time order, units, admissible ranges, and missing controls. This contract also supports research. A PID controller, a model predictive controller, and a reinforcement-learning agent can all produce the same external file format. We can therefore compare algorithms without coupling the platform to one method.</w:t>
      </w:r>
    </w:p>
    <w:p>
      <w:pPr>
        <w:pageBreakBefore/>
        <w:spacing w:after="60"/>
      </w:pPr>
      <w:r>
        <w:rPr>
          <w:rFonts w:ascii="Arimo" w:hAnsi="Arimo"/>
          <w:b/>
          <w:color w:val="167A55"/>
          <w:sz w:val="18"/>
        </w:rPr>
        <w:t>MAIN TALK  •  ACT 3 OF 6</w:t>
      </w:r>
    </w:p>
    <w:p>
      <w:pPr>
        <w:pStyle w:val="Heading1"/>
      </w:pPr>
      <w:r>
        <w:t>Act III — What the reviewer sees</w:t>
      </w:r>
    </w:p>
    <w:p>
      <w:pPr>
        <w:pStyle w:val="Heading2"/>
      </w:pPr>
      <w:r>
        <w:t>Slide 7 — Illustrative interface demonstration</w:t>
      </w:r>
    </w:p>
    <w:p>
      <w:pPr>
        <w:spacing w:after="80"/>
      </w:pPr>
      <w:r>
        <w:rPr>
          <w:rFonts w:ascii="Arimo" w:hAnsi="Arimo"/>
          <w:b/>
          <w:color w:val="E69B3A"/>
          <w:sz w:val="16"/>
        </w:rPr>
        <w:t>TIME  1:40   •   STAGE CUE  Start the 35-second video. Let it establish the interface, then explicitly repeat: illustrative, not model-generated.</w:t>
      </w:r>
    </w:p>
    <w:p>
      <w:pPr>
        <w:keepNext/>
        <w:spacing w:after="60"/>
      </w:pPr>
      <w:r>
        <w:rPr>
          <w:rFonts w:ascii="Arimo" w:hAnsi="Arimo"/>
          <w:b/>
          <w:color w:val="5E7068"/>
          <w:sz w:val="17"/>
        </w:rPr>
        <w:t xml:space="preserve">On-screen anchor: </w:t>
      </w:r>
      <w:r>
        <w:rPr>
          <w:rFonts w:ascii="Arimo" w:hAnsi="Arimo"/>
          <w:color w:val="5E7068"/>
          <w:sz w:val="17"/>
        </w:rPr>
        <w:t>Load a 64-control schedule · Replay five timestamps · Inspect the RainForest by sensor and metric</w:t>
      </w:r>
    </w:p>
    <w:p>
      <w:pPr>
        <w:spacing w:after="80" w:line="250" w:lineRule="auto"/>
      </w:pPr>
      <w:r>
        <w:rPr>
          <w:rFonts w:ascii="Arimo" w:hAnsi="Arimo"/>
          <w:sz w:val="20"/>
        </w:rPr>
        <w:t>This short demonstration shows how a user would work with the proposed system. On the left, the platform loads a prepared strategy containing five snapshots, each with 64 absolute control values. The center shows a deliberately simplified RainForest model. We do not need survey-grade geometry for this decision. Four towers and eighteen physical measurement points are enough to explain the spatial structure. Each point carries temperature and relative humidity, giving 36 climate channels. The timeline replays the scheduled controls. The user can switch between temperature and humidity, select a point, and inspect its trajectory. At the midpoint, the interface raises an illustrative constraint flag so the reviewer can see where an unsafe or undesirable trend would appear. The label at the bottom is essential: this scenario is not yet model-generated. The interface proves the workflow and communication design. Building and validating the causal simulation engine is the work of the proposed Proof of Concept.</w:t>
      </w:r>
    </w:p>
    <w:p>
      <w:pPr>
        <w:spacing w:before="40" w:after="160"/>
      </w:pPr>
      <w:r>
        <w:rPr>
          <w:rFonts w:ascii="Arimo" w:hAnsi="Arimo"/>
          <w:b/>
          <w:color w:val="5E7068"/>
          <w:sz w:val="17"/>
        </w:rPr>
        <w:t xml:space="preserve">Sources: </w:t>
      </w:r>
      <w:r>
        <w:rPr>
          <w:rFonts w:ascii="Arimo" w:hAnsi="Arimo"/>
          <w:color w:val="5E7068"/>
          <w:sz w:val="17"/>
        </w:rPr>
        <w:t>https://rainforest-virtual-proving-ground.dimitribolt.chatgpt.site/</w:t>
      </w:r>
    </w:p>
    <w:p>
      <w:pPr>
        <w:pStyle w:val="Heading2"/>
      </w:pPr>
      <w:r>
        <w:t>Slide 8 — Reading the simulation output</w:t>
      </w:r>
    </w:p>
    <w:p>
      <w:pPr>
        <w:spacing w:after="80"/>
      </w:pPr>
      <w:r>
        <w:rPr>
          <w:rFonts w:ascii="Arimo" w:hAnsi="Arimo"/>
          <w:b/>
          <w:color w:val="167A55"/>
          <w:sz w:val="16"/>
        </w:rPr>
        <w:t>TIME  1:15   •   STAGE CUE  Use the right-hand list. Point to the traceability sentence last.</w:t>
      </w:r>
    </w:p>
    <w:p>
      <w:pPr>
        <w:keepNext/>
        <w:spacing w:after="60"/>
      </w:pPr>
      <w:r>
        <w:rPr>
          <w:rFonts w:ascii="Arimo" w:hAnsi="Arimo"/>
          <w:b/>
          <w:color w:val="5E7068"/>
          <w:sz w:val="17"/>
        </w:rPr>
        <w:t xml:space="preserve">On-screen anchor: </w:t>
      </w:r>
      <w:r>
        <w:rPr>
          <w:rFonts w:ascii="Arimo" w:hAnsi="Arimo"/>
          <w:color w:val="5E7068"/>
          <w:sz w:val="17"/>
        </w:rPr>
        <w:t>Spatial response across four towers · Time series for a selected measurement point · Comfort and safety envelopes</w:t>
      </w:r>
    </w:p>
    <w:p>
      <w:pPr>
        <w:spacing w:after="80" w:line="250" w:lineRule="auto"/>
      </w:pPr>
      <w:r>
        <w:rPr>
          <w:rFonts w:ascii="Arimo" w:hAnsi="Arimo"/>
          <w:sz w:val="20"/>
        </w:rPr>
        <w:t>A simulator should return more than a colored model. The first output is the full 36-channel trajectory so we can see spatial differences among the four towers and vertical sensor levels. The second is a time series for any selected point, together with target bands and hard limits. The third is a scorecard for energy, climate performance, and stability. The fourth is uncertainty. If the engine has little support for a proposed control combination or weather condition, the interface must say so. Finally, every warning needs a reason that a reviewer can trace to a channel, timestamp, threshold, and input schedule. This design turns a simulation from a visual presentation into an auditable experiment. It also gives researchers a precise target: improve prediction and uncertainty while preserving the same external evaluation contract.</w:t>
      </w:r>
    </w:p>
    <w:p>
      <w:pPr>
        <w:pStyle w:val="Heading2"/>
      </w:pPr>
      <w:r>
        <w:t>Slide 9 — Human approval and operational boundaries</w:t>
      </w:r>
    </w:p>
    <w:p>
      <w:pPr>
        <w:spacing w:after="80"/>
      </w:pPr>
      <w:r>
        <w:rPr>
          <w:rFonts w:ascii="Arimo" w:hAnsi="Arimo"/>
          <w:b/>
          <w:color w:val="167A55"/>
          <w:sz w:val="16"/>
        </w:rPr>
        <w:t>TIME  1:00   •   STAGE CUE  Point to the red barrier and say no write path clearly.</w:t>
      </w:r>
    </w:p>
    <w:p>
      <w:pPr>
        <w:keepNext/>
        <w:spacing w:after="60"/>
      </w:pPr>
      <w:r>
        <w:rPr>
          <w:rFonts w:ascii="Arimo" w:hAnsi="Arimo"/>
          <w:b/>
          <w:color w:val="5E7068"/>
          <w:sz w:val="17"/>
        </w:rPr>
        <w:t xml:space="preserve">On-screen anchor: </w:t>
      </w:r>
      <w:r>
        <w:rPr>
          <w:rFonts w:ascii="Arimo" w:hAnsi="Arimo"/>
          <w:color w:val="5E7068"/>
          <w:sz w:val="17"/>
        </w:rPr>
        <w:t>No direct connection to facility equipment · Hard bounds checked before simulation · Operator review before any field trial</w:t>
      </w:r>
    </w:p>
    <w:p>
      <w:pPr>
        <w:spacing w:after="80" w:line="250" w:lineRule="auto"/>
      </w:pPr>
      <w:r>
        <w:rPr>
          <w:rFonts w:ascii="Arimo" w:hAnsi="Arimo"/>
          <w:sz w:val="20"/>
        </w:rPr>
        <w:t>The Proof of Concept would remain offline. It would not write commands to Biosphere 2 equipment. Every strategy would pass basic schema and bound checks before simulation. The system would preserve the submitted file, model version, scenario, software version, and result so another reviewer can reproduce the run. Any future field experiment would require a separate operating procedure, a named operator, approved limits, rollback conditions, and explicit authorization. This boundary matters because model confidence does not equal operational authority. A good prediction supports a decision. It does not replace the people responsible for the facility. The first milestone is therefore evidence for review, not autonomous control.</w:t>
      </w:r>
    </w:p>
    <w:p>
      <w:pPr>
        <w:pageBreakBefore/>
        <w:spacing w:after="60"/>
      </w:pPr>
      <w:r>
        <w:rPr>
          <w:rFonts w:ascii="Arimo" w:hAnsi="Arimo"/>
          <w:b/>
          <w:color w:val="167A55"/>
          <w:sz w:val="18"/>
        </w:rPr>
        <w:t>MAIN TALK  •  ACT 4 OF 6</w:t>
      </w:r>
    </w:p>
    <w:p>
      <w:pPr>
        <w:pStyle w:val="Heading1"/>
      </w:pPr>
      <w:r>
        <w:t>Act IV — How the science stays modular</w:t>
      </w:r>
    </w:p>
    <w:p>
      <w:pPr>
        <w:pStyle w:val="Heading2"/>
      </w:pPr>
      <w:r>
        <w:t>Slide 10 — Pluggable simulation engine</w:t>
      </w:r>
    </w:p>
    <w:p>
      <w:pPr>
        <w:spacing w:after="80"/>
      </w:pPr>
      <w:r>
        <w:rPr>
          <w:rFonts w:ascii="Arimo" w:hAnsi="Arimo"/>
          <w:b/>
          <w:color w:val="167A55"/>
          <w:sz w:val="16"/>
        </w:rPr>
        <w:t>TIME  1:15   •   STAGE CUE  Point to input, adapter, output, then the four candidate engine families.</w:t>
      </w:r>
    </w:p>
    <w:p>
      <w:pPr>
        <w:keepNext/>
        <w:spacing w:after="60"/>
      </w:pPr>
      <w:r>
        <w:rPr>
          <w:rFonts w:ascii="Arimo" w:hAnsi="Arimo"/>
          <w:b/>
          <w:color w:val="5E7068"/>
          <w:sz w:val="17"/>
        </w:rPr>
        <w:t xml:space="preserve">On-screen anchor: </w:t>
      </w:r>
      <w:r>
        <w:rPr>
          <w:rFonts w:ascii="Arimo" w:hAnsi="Arimo"/>
          <w:color w:val="5E7068"/>
          <w:sz w:val="17"/>
        </w:rPr>
        <w:t>Inputs: initial state, 64-control schedule, weather and context, horizon · Outputs: 36-channel trajectories, uncertainty, constraints, energy indicators, diagnostics · Model version and assumptions travel with every result</w:t>
      </w:r>
    </w:p>
    <w:p>
      <w:pPr>
        <w:spacing w:after="80" w:line="250" w:lineRule="auto"/>
      </w:pPr>
      <w:r>
        <w:rPr>
          <w:rFonts w:ascii="Arimo" w:hAnsi="Arimo"/>
          <w:sz w:val="20"/>
        </w:rPr>
        <w:t>The interface should not depend on a single mathematical engine. The platform calls a stable simulation contract. The input contains the initial 36-channel state, the 64-control schedule, weather and other context, plus the simulation horizon. The output contains predicted trajectories, uncertainty, constraint events, energy indicators, and diagnostic information. One engine may be an LSTM trained on synchronized historical data. Another may be a state-space model that exposes physical coefficients. A later engine may wrap EnergyPlus, Modelica, or a hybrid model. Because the contract remains stable, the same scenario and strategy can run through several engines. We can compare accuracy, computation time, interpretability, and uncertainty without rewriting the user interface or the student competition. Model selection becomes an evidence-based module decision rather than a permanent architectural bet.</w:t>
      </w:r>
    </w:p>
    <w:p>
      <w:pPr>
        <w:spacing w:before="40" w:after="160"/>
      </w:pPr>
      <w:r>
        <w:rPr>
          <w:rFonts w:ascii="Arimo" w:hAnsi="Arimo"/>
          <w:b/>
          <w:color w:val="5E7068"/>
          <w:sz w:val="17"/>
        </w:rPr>
        <w:t xml:space="preserve">Sources: </w:t>
      </w:r>
      <w:r>
        <w:rPr>
          <w:rFonts w:ascii="Arimo" w:hAnsi="Arimo"/>
          <w:color w:val="5E7068"/>
          <w:sz w:val="17"/>
        </w:rPr>
        <w:t>https://fmi-standard.org/docs/main/</w:t>
      </w:r>
    </w:p>
    <w:p>
      <w:pPr>
        <w:pStyle w:val="Heading2"/>
      </w:pPr>
      <w:r>
        <w:t>Slide 11 — Candidate forward-model families</w:t>
      </w:r>
    </w:p>
    <w:p>
      <w:pPr>
        <w:spacing w:after="80"/>
      </w:pPr>
      <w:r>
        <w:rPr>
          <w:rFonts w:ascii="Arimo" w:hAnsi="Arimo"/>
          <w:b/>
          <w:color w:val="167A55"/>
          <w:sz w:val="16"/>
        </w:rPr>
        <w:t>TIME  1:20   •   STAGE CUE  Move across the four columns. End with the simplest engine that passes the gates.</w:t>
      </w:r>
    </w:p>
    <w:p>
      <w:pPr>
        <w:keepNext/>
        <w:spacing w:after="60"/>
      </w:pPr>
      <w:r>
        <w:rPr>
          <w:rFonts w:ascii="Arimo" w:hAnsi="Arimo"/>
          <w:b/>
          <w:color w:val="5E7068"/>
          <w:sz w:val="17"/>
        </w:rPr>
        <w:t xml:space="preserve">On-screen anchor: </w:t>
      </w:r>
      <w:r>
        <w:rPr>
          <w:rFonts w:ascii="Arimo" w:hAnsi="Arimo"/>
          <w:color w:val="5E7068"/>
          <w:sz w:val="17"/>
        </w:rPr>
        <w:t>Gray-box state-space: interpretable dynamics and modest data needs · Temporal ML: flexible nonlinear response and delay modeling · Physics-based: explicit envelopes, HVAC components, and energy accounting</w:t>
      </w:r>
    </w:p>
    <w:p>
      <w:pPr>
        <w:spacing w:after="80" w:line="250" w:lineRule="auto"/>
      </w:pPr>
      <w:r>
        <w:rPr>
          <w:rFonts w:ascii="Arimo" w:hAnsi="Arimo"/>
          <w:sz w:val="20"/>
        </w:rPr>
        <w:t>Four model families deserve an initial benchmark. A gray-box state-space model offers interpretable time constants and can work with less data, but it may miss complex nonlinear interactions. A temporal machine-learning model such as an LSTM can learn delays and nonlinear behavior from historical sequences, but it needs synchronized controls, sensors, and context, and it requires careful out-of-distribution checks. A physics-based model in EnergyPlus or Modelica can represent envelopes and HVAC components explicitly, but calibration for a unique biome can be labor intensive. A hybrid model can impose physical structure and learn the residual behavior that the simplified physics misses. The Proof of Concept should not promise that one family will win. It should define test windows, error metrics, uncertainty checks, and computational requirements, then select the simplest engine that meets the operational use case.</w:t>
      </w:r>
    </w:p>
    <w:p>
      <w:pPr>
        <w:spacing w:before="40" w:after="160"/>
      </w:pPr>
      <w:r>
        <w:rPr>
          <w:rFonts w:ascii="Arimo" w:hAnsi="Arimo"/>
          <w:b/>
          <w:color w:val="5E7068"/>
          <w:sz w:val="17"/>
        </w:rPr>
        <w:t xml:space="preserve">Sources: </w:t>
      </w:r>
      <w:r>
        <w:rPr>
          <w:rFonts w:ascii="Arimo" w:hAnsi="Arimo"/>
          <w:color w:val="5E7068"/>
          <w:sz w:val="17"/>
        </w:rPr>
        <w:t>https://energyplus.net/  |  https://simulationresearch.lbl.gov/modelica/</w:t>
      </w:r>
    </w:p>
    <w:p>
      <w:pPr>
        <w:pStyle w:val="Heading2"/>
      </w:pPr>
      <w:r>
        <w:t>Slide 12 — Established simulation foundations</w:t>
      </w:r>
    </w:p>
    <w:p>
      <w:pPr>
        <w:spacing w:after="80"/>
      </w:pPr>
      <w:r>
        <w:rPr>
          <w:rFonts w:ascii="Arimo" w:hAnsi="Arimo"/>
          <w:b/>
          <w:color w:val="167A55"/>
          <w:sz w:val="16"/>
        </w:rPr>
        <w:t>TIME  1:20   •   STAGE CUE  Name these as engineering precedents, not validation of the present app.</w:t>
      </w:r>
    </w:p>
    <w:p>
      <w:pPr>
        <w:keepNext/>
        <w:spacing w:after="60"/>
      </w:pPr>
      <w:r>
        <w:rPr>
          <w:rFonts w:ascii="Arimo" w:hAnsi="Arimo"/>
          <w:b/>
          <w:color w:val="5E7068"/>
          <w:sz w:val="17"/>
        </w:rPr>
        <w:t xml:space="preserve">On-screen anchor: </w:t>
      </w:r>
      <w:r>
        <w:rPr>
          <w:rFonts w:ascii="Arimo" w:hAnsi="Arimo"/>
          <w:color w:val="5E7068"/>
          <w:sz w:val="17"/>
        </w:rPr>
        <w:t>BOPTEST: external controller testing with common APIs and KPIs · EnergyPlus and Modelica Buildings: dynamic building and HVAC simulation · FMI and FMU: portable model interfaces and co-simulation</w:t>
      </w:r>
    </w:p>
    <w:p>
      <w:pPr>
        <w:spacing w:after="80" w:line="250" w:lineRule="auto"/>
      </w:pPr>
      <w:r>
        <w:rPr>
          <w:rFonts w:ascii="Arimo" w:hAnsi="Arimo"/>
          <w:sz w:val="20"/>
        </w:rPr>
        <w:t>This proposal does not begin from an empty field. BOPTEST demonstrates how external control algorithms can interact with a common test environment and receive standardized performance indicators. EnergyPlus and the Modelica Buildings Library provide mature foundations for dynamic building and HVAC simulation. The Functional Mock-up Interface defines a standard way to package and exchange simulation models or coordinate co-simulation. ASHRAE Standard 140 provides a systematic philosophy for testing building energy simulation programs. These precedents support the architecture: a stable interface, versioned test cases, repeatable metrics, and replaceable engines. They do not certify the present RainForest app, and none of them can be applied to this biome without data preparation and calibration. They show that the proposed engineering pattern aligns with established simulation practice while leaving the RainForest-specific science open for validation.</w:t>
      </w:r>
    </w:p>
    <w:p>
      <w:pPr>
        <w:spacing w:before="40" w:after="160"/>
      </w:pPr>
      <w:r>
        <w:rPr>
          <w:rFonts w:ascii="Arimo" w:hAnsi="Arimo"/>
          <w:b/>
          <w:color w:val="5E7068"/>
          <w:sz w:val="17"/>
        </w:rPr>
        <w:t xml:space="preserve">Sources: </w:t>
      </w:r>
      <w:r>
        <w:rPr>
          <w:rFonts w:ascii="Arimo" w:hAnsi="Arimo"/>
          <w:color w:val="5E7068"/>
          <w:sz w:val="17"/>
        </w:rPr>
        <w:t>https://ibpsa.github.io/project1-boptest/index.html  |  https://ibpsa.github.io/project1-boptest/docs-userguide/introduction.html  |  https://energyplus.net/  |  https://simulationresearch.lbl.gov/modelica/  |  https://fmi-standard.org/docs/main/  |  https://data.ashrae.org/standard140/</w:t>
      </w:r>
    </w:p>
    <w:p>
      <w:pPr>
        <w:pageBreakBefore/>
        <w:spacing w:after="60"/>
      </w:pPr>
      <w:r>
        <w:rPr>
          <w:rFonts w:ascii="Arimo" w:hAnsi="Arimo"/>
          <w:b/>
          <w:color w:val="167A55"/>
          <w:sz w:val="18"/>
        </w:rPr>
        <w:t>MAIN TALK  •  ACT 5 OF 6</w:t>
      </w:r>
    </w:p>
    <w:p>
      <w:pPr>
        <w:pStyle w:val="Heading1"/>
      </w:pPr>
      <w:r>
        <w:t>Act V — Why the platform creates leverage</w:t>
      </w:r>
    </w:p>
    <w:p>
      <w:pPr>
        <w:pStyle w:val="Heading2"/>
      </w:pPr>
      <w:r>
        <w:t>Slide 13 — Student competition and research pipeline</w:t>
      </w:r>
    </w:p>
    <w:p>
      <w:pPr>
        <w:spacing w:after="80"/>
      </w:pPr>
      <w:r>
        <w:rPr>
          <w:rFonts w:ascii="Arimo" w:hAnsi="Arimo"/>
          <w:b/>
          <w:color w:val="167A55"/>
          <w:sz w:val="16"/>
        </w:rPr>
        <w:t>TIME  1:10   •   STAGE CUE  Trace the arrows. Separate hackathon breadth from publication-grade mini-research.</w:t>
      </w:r>
    </w:p>
    <w:p>
      <w:pPr>
        <w:keepNext/>
        <w:spacing w:after="60"/>
      </w:pPr>
      <w:r>
        <w:rPr>
          <w:rFonts w:ascii="Arimo" w:hAnsi="Arimo"/>
          <w:b/>
          <w:color w:val="5E7068"/>
          <w:sz w:val="17"/>
        </w:rPr>
        <w:t xml:space="preserve">On-screen anchor: </w:t>
      </w:r>
      <w:r>
        <w:rPr>
          <w:rFonts w:ascii="Arimo" w:hAnsi="Arimo"/>
          <w:color w:val="5E7068"/>
          <w:sz w:val="17"/>
        </w:rPr>
        <w:t>Publish benchmark scenarios and a strategy schema · Run hackathons and focused mini-research projects · Compare PID, MPC, RL, and new methods on the same tests</w:t>
      </w:r>
    </w:p>
    <w:p>
      <w:pPr>
        <w:spacing w:after="80" w:line="250" w:lineRule="auto"/>
      </w:pPr>
      <w:r>
        <w:rPr>
          <w:rFonts w:ascii="Arimo" w:hAnsi="Arimo"/>
          <w:sz w:val="20"/>
        </w:rPr>
        <w:t>Once a validated baseline exists, the platform can support participation at a much larger scale. Students receive a clear problem, a documented strategy format, benchmark scenarios, and a scoring method. They build algorithms outside the simulator and submit the resulting control schedules or controller containers. The platform evaluates every entry under the same conditions. Hackathons can generate breadth, while focused mini-research projects can investigate uncertainty, model reduction, system identification, MPC, or reinforcement learning. The best results become reproducible research artifacts rather than isolated demonstrations. Faculty and domain experts can identify publication candidates because the experiments share datasets, baselines, metrics, and versioned runs. The simulator therefore supports operations and creates a structured research program around a real facility problem.</w:t>
      </w:r>
    </w:p>
    <w:p>
      <w:pPr>
        <w:spacing w:before="40" w:after="160"/>
      </w:pPr>
      <w:r>
        <w:rPr>
          <w:rFonts w:ascii="Arimo" w:hAnsi="Arimo"/>
          <w:b/>
          <w:color w:val="5E7068"/>
          <w:sz w:val="17"/>
        </w:rPr>
        <w:t xml:space="preserve">Sources: </w:t>
      </w:r>
      <w:r>
        <w:rPr>
          <w:rFonts w:ascii="Arimo" w:hAnsi="Arimo"/>
          <w:color w:val="5E7068"/>
          <w:sz w:val="17"/>
        </w:rPr>
        <w:t>https://ibpsa.github.io/project1-boptest/index.html</w:t>
      </w:r>
    </w:p>
    <w:p>
      <w:pPr>
        <w:pStyle w:val="Heading2"/>
      </w:pPr>
      <w:r>
        <w:t>Slide 14 — Operational and economic value</w:t>
      </w:r>
    </w:p>
    <w:p>
      <w:pPr>
        <w:spacing w:after="80"/>
      </w:pPr>
      <w:r>
        <w:rPr>
          <w:rFonts w:ascii="Arimo" w:hAnsi="Arimo"/>
          <w:b/>
          <w:color w:val="167A55"/>
          <w:sz w:val="16"/>
        </w:rPr>
        <w:t>TIME  1:05   •   STAGE CUE  Pause on potential. Explicitly say there is no percentage or dollar promise today.</w:t>
      </w:r>
    </w:p>
    <w:p>
      <w:pPr>
        <w:keepNext/>
        <w:spacing w:after="60"/>
      </w:pPr>
      <w:r>
        <w:rPr>
          <w:rFonts w:ascii="Arimo" w:hAnsi="Arimo"/>
          <w:b/>
          <w:color w:val="5E7068"/>
          <w:sz w:val="17"/>
        </w:rPr>
        <w:t xml:space="preserve">On-screen anchor: </w:t>
      </w:r>
      <w:r>
        <w:rPr>
          <w:rFonts w:ascii="Arimo" w:hAnsi="Arimo"/>
          <w:color w:val="5E7068"/>
          <w:sz w:val="17"/>
        </w:rPr>
        <w:t>Compare strategies before scheduling facility trials · Identify avoidable energy use and unstable control behavior · Focus staff time on candidates with documented benefit</w:t>
      </w:r>
    </w:p>
    <w:p>
      <w:pPr>
        <w:spacing w:after="80" w:line="250" w:lineRule="auto"/>
      </w:pPr>
      <w:r>
        <w:rPr>
          <w:rFonts w:ascii="Arimo" w:hAnsi="Arimo"/>
          <w:sz w:val="20"/>
        </w:rPr>
        <w:t>The largest economic opportunity is avoiding unnecessary energy use while maintaining the climate conditions the biome requires. A simulator can compare candidate schedules before staff commit time or equipment to a field trial. It can expose strategies that create oscillation, excessive fan demand, aggressive valve motion, or climate drift. It can also identify when two strategies deliver similar climate performance with different energy indicators. I am not proposing a savings percentage today. That would require calibrated energy relationships and controlled validation. I am saying that an energy-intensive research facility has major cost-saving potential if it can evaluate control strategies systematically. The same evidence can strengthen operational planning, research proposals, student projects, and grant applications because each claimed improvement traces to a repeatable scenario and a versioned model.</w:t>
      </w:r>
    </w:p>
    <w:p>
      <w:pPr>
        <w:spacing w:before="40" w:after="160"/>
      </w:pPr>
      <w:r>
        <w:rPr>
          <w:rFonts w:ascii="Arimo" w:hAnsi="Arimo"/>
          <w:b/>
          <w:color w:val="5E7068"/>
          <w:sz w:val="17"/>
        </w:rPr>
        <w:t xml:space="preserve">Sources: </w:t>
      </w:r>
      <w:r>
        <w:rPr>
          <w:rFonts w:ascii="Arimo" w:hAnsi="Arimo"/>
          <w:color w:val="5E7068"/>
          <w:sz w:val="17"/>
        </w:rPr>
        <w:t>https://biosphere2.org/research/user-facility-information/energy-and-water</w:t>
      </w:r>
    </w:p>
    <w:p>
      <w:pPr>
        <w:pageBreakBefore/>
        <w:spacing w:after="60"/>
      </w:pPr>
      <w:r>
        <w:rPr>
          <w:rFonts w:ascii="Arimo" w:hAnsi="Arimo"/>
          <w:b/>
          <w:color w:val="167A55"/>
          <w:sz w:val="18"/>
        </w:rPr>
        <w:t>MAIN TALK  •  ACT 6 OF 6</w:t>
      </w:r>
    </w:p>
    <w:p>
      <w:pPr>
        <w:pStyle w:val="Heading1"/>
      </w:pPr>
      <w:r>
        <w:t>Act VI — What to build and what to approve</w:t>
      </w:r>
    </w:p>
    <w:p>
      <w:pPr>
        <w:pStyle w:val="Heading2"/>
      </w:pPr>
      <w:r>
        <w:t>Slide 15 — Sixteen-week Proof of Concept</w:t>
      </w:r>
    </w:p>
    <w:p>
      <w:pPr>
        <w:spacing w:after="80"/>
      </w:pPr>
      <w:r>
        <w:rPr>
          <w:rFonts w:ascii="Arimo" w:hAnsi="Arimo"/>
          <w:b/>
          <w:color w:val="167A55"/>
          <w:sz w:val="16"/>
        </w:rPr>
        <w:t>TIME  1:30   •   STAGE CUE  Move through the four stages. Finish on the exit package.</w:t>
      </w:r>
    </w:p>
    <w:p>
      <w:pPr>
        <w:keepNext/>
        <w:spacing w:after="60"/>
      </w:pPr>
      <w:r>
        <w:rPr>
          <w:rFonts w:ascii="Arimo" w:hAnsi="Arimo"/>
          <w:b/>
          <w:color w:val="5E7068"/>
          <w:sz w:val="17"/>
        </w:rPr>
        <w:t xml:space="preserve">On-screen anchor: </w:t>
      </w:r>
      <w:r>
        <w:rPr>
          <w:rFonts w:ascii="Arimo" w:hAnsi="Arimo"/>
          <w:color w:val="5E7068"/>
          <w:sz w:val="17"/>
        </w:rPr>
        <w:t>Weeks 1-4: synchronize data, controls, context, and limits · Weeks 5-8: benchmark engines and uncertainty · Weeks 9-12: implement the module API, scenarios, KPIs, and interface</w:t>
      </w:r>
    </w:p>
    <w:p>
      <w:pPr>
        <w:spacing w:after="80" w:line="250" w:lineRule="auto"/>
      </w:pPr>
      <w:r>
        <w:rPr>
          <w:rFonts w:ascii="Arimo" w:hAnsi="Arimo"/>
          <w:sz w:val="20"/>
        </w:rPr>
        <w:t>The work fits into four stages. During weeks one through four, we align the 64-control inventory with the 36 climate channels, weather and operating context, energy signals, timestamps, units, and operating limits. This stage also defines training and holdout periods so later accuracy claims remain honest. During weeks five through eight, we build and benchmark at least two practical engine families, quantify forecast error, and add uncertainty or out-of-distribution diagnostics. During weeks nine through twelve, we implement the stable module interface, scenario definitions, climate and energy indicators, constraint logic, and the review interface. During weeks thirteen through sixteen, we replay historical periods, compare predictions with measured outcomes, conduct operator review, and run acceptance tests. The final deliverable is not a claim of autonomous control. It is a working offline testbed, a validation report, documented limitations, and a recommendation on whether Phase 2 deserves investment.</w:t>
      </w:r>
    </w:p>
    <w:p>
      <w:pPr>
        <w:pStyle w:val="Heading2"/>
      </w:pPr>
      <w:r>
        <w:t>Slide 16 — Decision requested</w:t>
      </w:r>
    </w:p>
    <w:p>
      <w:pPr>
        <w:spacing w:after="80"/>
      </w:pPr>
      <w:r>
        <w:rPr>
          <w:rFonts w:ascii="Arimo" w:hAnsi="Arimo"/>
          <w:b/>
          <w:color w:val="167A55"/>
          <w:sz w:val="16"/>
        </w:rPr>
        <w:t>TIME  1:05   •   STAGE CUE  Slow down. Make the three requests one at a time, then end on the decision question.</w:t>
      </w:r>
    </w:p>
    <w:p>
      <w:pPr>
        <w:keepNext/>
        <w:spacing w:after="60"/>
      </w:pPr>
      <w:r>
        <w:rPr>
          <w:rFonts w:ascii="Arimo" w:hAnsi="Arimo"/>
          <w:b/>
          <w:color w:val="5E7068"/>
          <w:sz w:val="17"/>
        </w:rPr>
        <w:t xml:space="preserve">On-screen anchor: </w:t>
      </w:r>
      <w:r>
        <w:rPr>
          <w:rFonts w:ascii="Arimo" w:hAnsi="Arimo"/>
          <w:color w:val="5E7068"/>
          <w:sz w:val="17"/>
        </w:rPr>
        <w:t>Approve the sixteen-week Proof of Concept · Assign a Biosphere 2 operations liaison · Authorize access to synchronized controls, sensors, weather, energy signals, and operating limits</w:t>
      </w:r>
    </w:p>
    <w:p>
      <w:pPr>
        <w:spacing w:after="80" w:line="250" w:lineRule="auto"/>
      </w:pPr>
      <w:r>
        <w:rPr>
          <w:rFonts w:ascii="Arimo" w:hAnsi="Arimo"/>
          <w:sz w:val="20"/>
        </w:rPr>
        <w:t>I am asking for approval to build the sixteen-week offline Proof of Concept. The project needs a Biosphere 2 operations liaison and authorized access to synchronized control histories, RainForest climate measurements, relevant weather and operating context, energy signals, and known operating limits. I would lead the implementation under the academic supervision of Dr. Ildar Gabitov, with Biosphere 2 staff validating operational assumptions and acceptance criteria. At the end, leadership would receive the working testbed, model benchmark, validation evidence, limitations, and a Phase 2 recommendation. No equipment connection is part of this request. The decision is whether to create a safe, measurable way to test climate strategies before considering real-world experiments.</w:t>
      </w:r>
    </w:p>
    <w:p>
      <w:pPr>
        <w:pageBreakBefore/>
        <w:spacing w:after="60"/>
      </w:pPr>
      <w:r>
        <w:rPr>
          <w:rFonts w:ascii="Arimo" w:hAnsi="Arimo"/>
          <w:b/>
          <w:color w:val="167A55"/>
          <w:sz w:val="18"/>
        </w:rPr>
        <w:t>REHEARSAL AID</w:t>
      </w:r>
    </w:p>
    <w:p>
      <w:pPr>
        <w:pStyle w:val="Heading1"/>
      </w:pPr>
      <w:r>
        <w:t>Pronunciation and mathematical reading</w:t>
      </w:r>
    </w:p>
    <w:p>
      <w:pPr>
        <w:spacing w:after="200"/>
      </w:pPr>
      <w:r>
        <w:t>Use the letter-by-letter readings for acronyms. Keep the formula on slide 3 conversational; it is a definition of the forward step, not a derivation.</w:t>
      </w:r>
    </w:p>
    <w:tbl>
      <w:tblPr>
        <w:tblW w:type="auto" w:w="0"/>
        <w:jc w:val="center"/>
        <w:tblLayout w:type="fixed"/>
        <w:tblLook w:firstColumn="1" w:firstRow="1" w:lastColumn="0" w:lastRow="0" w:noHBand="0" w:noVBand="1" w:val="04A0"/>
      </w:tblPr>
      <w:tblGrid>
        <w:gridCol w:w="3024"/>
        <w:gridCol w:w="7056"/>
      </w:tblGrid>
      <w:tr>
        <w:tc>
          <w:tcPr>
            <w:tcW w:type="dxa" w:w="5083"/>
            <w:shd w:fill="167A55"/>
            <w:tcMar>
              <w:top w:w="90" w:type="dxa"/>
              <w:start w:w="100" w:type="dxa"/>
              <w:bottom w:w="90" w:type="dxa"/>
              <w:end w:w="100" w:type="dxa"/>
            </w:tcMar>
          </w:tcPr>
          <w:p>
            <w:r>
              <w:rPr>
                <w:rFonts w:ascii="Arimo" w:hAnsi="Arimo"/>
                <w:b/>
                <w:color w:val="FFFFFF"/>
                <w:sz w:val="18"/>
              </w:rPr>
              <w:t>TERM</w:t>
            </w:r>
          </w:p>
        </w:tc>
        <w:tc>
          <w:tcPr>
            <w:tcW w:type="dxa" w:w="5083"/>
            <w:shd w:fill="167A55"/>
            <w:tcMar>
              <w:top w:w="90" w:type="dxa"/>
              <w:start w:w="100" w:type="dxa"/>
              <w:bottom w:w="90" w:type="dxa"/>
              <w:end w:w="100" w:type="dxa"/>
            </w:tcMar>
          </w:tcPr>
          <w:p>
            <w:r>
              <w:rPr>
                <w:rFonts w:ascii="Arimo" w:hAnsi="Arimo"/>
                <w:b/>
                <w:color w:val="FFFFFF"/>
                <w:sz w:val="18"/>
              </w:rPr>
              <w:t>SAY</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BOPTEST</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B-O-P-test</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FMI</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F-M-I</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FMU</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F-M-U</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Modelica</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mo-DELL-ih-ka</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LSTM</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L-S-T-M</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Hamiltonian</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ham-il-TOE-nee-an</w:t>
            </w:r>
          </w:p>
        </w:tc>
      </w:tr>
      <w:tr>
        <w:tc>
          <w:tcPr>
            <w:tcW w:type="dxa" w:w="3024"/>
            <w:shd w:fill="F4F7F3"/>
            <w:tcMar>
              <w:top w:w="90" w:type="dxa"/>
              <w:start w:w="100" w:type="dxa"/>
              <w:bottom w:w="90" w:type="dxa"/>
              <w:end w:w="100" w:type="dxa"/>
            </w:tcMar>
            <w:tcBorders>
              <w:bottom w:val="single" w:sz="4" w:color="FFFFFF"/>
            </w:tcBorders>
          </w:tcPr>
          <w:p>
            <w:r>
              <w:rPr>
                <w:rFonts w:ascii="Arimo" w:hAnsi="Arimo"/>
                <w:b/>
                <w:sz w:val="19"/>
              </w:rPr>
              <w:t>Gabitov</w:t>
            </w:r>
          </w:p>
        </w:tc>
        <w:tc>
          <w:tcPr>
            <w:tcW w:type="dxa" w:w="7056"/>
            <w:shd w:fill="F4F7F3"/>
            <w:tcMar>
              <w:top w:w="90" w:type="dxa"/>
              <w:start w:w="100" w:type="dxa"/>
              <w:bottom w:w="90" w:type="dxa"/>
              <w:end w:w="100" w:type="dxa"/>
            </w:tcMar>
            <w:tcBorders>
              <w:bottom w:val="single" w:sz="4" w:color="FFFFFF"/>
            </w:tcBorders>
          </w:tcPr>
          <w:p>
            <w:r>
              <w:rPr>
                <w:rFonts w:ascii="Arimo" w:hAnsi="Arimo"/>
                <w:sz w:val="19"/>
              </w:rPr>
              <w:t>GAH-bee-tov</w:t>
            </w:r>
          </w:p>
        </w:tc>
      </w:tr>
    </w:tbl>
    <w:p/>
    <w:p>
      <w:pPr>
        <w:pStyle w:val="Heading2"/>
      </w:pPr>
      <w:r>
        <w:t>Slide 3 formula</w:t>
      </w:r>
    </w:p>
    <w:p>
      <w:r>
        <w:rPr>
          <w:rFonts w:ascii="Arimo" w:hAnsi="Arimo"/>
          <w:b/>
          <w:sz w:val="24"/>
        </w:rPr>
        <w:t>x sub k plus one equals F theta of x sub k, u sub k, and w sub k.</w:t>
      </w:r>
    </w:p>
    <w:p>
      <w:pPr>
        <w:spacing w:after="200"/>
      </w:pPr>
      <w:r>
        <w:t>Meaning: the next climate state is estimated from the current state, the 64 control values, and external context such as weather and operating mode.</w:t>
      </w:r>
    </w:p>
    <w:p>
      <w:pPr>
        <w:pStyle w:val="Heading2"/>
      </w:pPr>
      <w:r>
        <w:t>If the demo does not play</w:t>
      </w:r>
    </w:p>
    <w:p>
      <w:r>
        <w:t>Use the static frame on slide 7, say the same script, and invite the audience to scan the QR code after the talk. The argument does not depend on live connectivity.</w:t>
      </w:r>
    </w:p>
    <w:p>
      <w:pPr>
        <w:pageBreakBefore/>
        <w:spacing w:after="60"/>
      </w:pPr>
      <w:r>
        <w:rPr>
          <w:rFonts w:ascii="Arimo" w:hAnsi="Arimo"/>
          <w:b/>
          <w:color w:val="E69B3A"/>
          <w:sz w:val="18"/>
        </w:rPr>
        <w:t>PREPARED Q&amp;A  •  GROUP 1 OF 5</w:t>
      </w:r>
    </w:p>
    <w:p>
      <w:pPr>
        <w:pStyle w:val="Heading1"/>
      </w:pPr>
      <w:r>
        <w:t>Accuracy and observability</w:t>
      </w:r>
    </w:p>
    <w:p>
      <w:pPr>
        <w:pStyle w:val="Heading3"/>
      </w:pPr>
      <w:r>
        <w:t>Q1. How accurate must the simulator be before it is useful?</w:t>
      </w:r>
    </w:p>
    <w:p>
      <w:pPr>
        <w:spacing w:after="160" w:line="269" w:lineRule="auto"/>
      </w:pPr>
      <w:r>
        <w:t>The threshold depends on the decision. A model used to rank strategies may be useful before it is accurate enough to support a tightly bounded field trial. The PoC will report error by channel, forecast horizon, season, and operating region. It will also test whether uncertainty expands when the proposed strategy differs from the training data. Biosphere 2 operations should approve acceptance thresholds for each use case.</w:t>
      </w:r>
    </w:p>
    <w:p>
      <w:pPr>
        <w:pStyle w:val="Heading3"/>
      </w:pPr>
      <w:r>
        <w:t>Q2. What happens when sensors are missing or unreliable?</w:t>
      </w:r>
    </w:p>
    <w:p>
      <w:pPr>
        <w:spacing w:after="160" w:line="269" w:lineRule="auto"/>
      </w:pPr>
      <w:r>
        <w:t>The platform will preserve quality flags, identify missing channels, and use only documented imputation or state-estimation methods. Results will show when the engine runs in a degraded mode. If the missing information makes a conclusion unreliable, the simulator should reject the run or widen its uncertainty rather than fill the gap silently.</w:t>
      </w:r>
    </w:p>
    <w:p>
      <w:pPr>
        <w:pStyle w:val="Heading3"/>
      </w:pPr>
      <w:r>
        <w:t>Q3. How will you prove that controls caused the predicted climate response?</w:t>
      </w:r>
    </w:p>
    <w:p>
      <w:pPr>
        <w:spacing w:after="160" w:line="269" w:lineRule="auto"/>
      </w:pPr>
      <w:r>
        <w:t>Historical correlation alone cannot prove causality. The PoC will align command histories, actual actuator states when available, sensor measurements, weather, schedules, and operating modes. It will test models on untouched chronological periods and examine natural or documented interventions. Any later field identification experiment would require a separate operator-approved protocol with safe bounds and rollback conditions.</w:t>
      </w:r>
    </w:p>
    <w:p>
      <w:pPr>
        <w:pageBreakBefore/>
        <w:spacing w:after="60"/>
      </w:pPr>
      <w:r>
        <w:rPr>
          <w:rFonts w:ascii="Arimo" w:hAnsi="Arimo"/>
          <w:b/>
          <w:color w:val="E69B3A"/>
          <w:sz w:val="18"/>
        </w:rPr>
        <w:t>PREPARED Q&amp;A  •  GROUP 2 OF 5</w:t>
      </w:r>
    </w:p>
    <w:p>
      <w:pPr>
        <w:pStyle w:val="Heading1"/>
      </w:pPr>
      <w:r>
        <w:t>Safety and operational authority</w:t>
      </w:r>
    </w:p>
    <w:p>
      <w:pPr>
        <w:pStyle w:val="Heading3"/>
      </w:pPr>
      <w:r>
        <w:t>Q4. Could this system damage equipment or the biome?</w:t>
      </w:r>
    </w:p>
    <w:p>
      <w:pPr>
        <w:spacing w:after="160" w:line="269" w:lineRule="auto"/>
      </w:pPr>
      <w:r>
        <w:t>The proposed PoC cannot write to facility equipment. It is an offline advisory testbed. It validates file structure and control bounds, then returns predicted consequences for review. A future equipment connection would require a separate project, safety case, operating procedure, cybersecurity review, named authority, and tested rollback path.</w:t>
      </w:r>
    </w:p>
    <w:p>
      <w:pPr>
        <w:pStyle w:val="Heading3"/>
      </w:pPr>
      <w:r>
        <w:t>Q5. Who decides whether a strategy can be tested in the real facility?</w:t>
      </w:r>
    </w:p>
    <w:p>
      <w:pPr>
        <w:spacing w:after="160" w:line="269" w:lineRule="auto"/>
      </w:pPr>
      <w:r>
        <w:t>Biosphere 2 operations retains that authority. Model developers can provide evidence and recommendations, but model confidence does not authorize deployment. Any field trial should have an approved scope, operator, time window, limits, monitoring plan, and stop conditions.</w:t>
      </w:r>
    </w:p>
    <w:p>
      <w:pPr>
        <w:pStyle w:val="Heading3"/>
      </w:pPr>
      <w:r>
        <w:t>Q6. How will cybersecurity and access control be handled?</w:t>
      </w:r>
    </w:p>
    <w:p>
      <w:pPr>
        <w:spacing w:after="160" w:line="269" w:lineRule="auto"/>
      </w:pPr>
      <w:r>
        <w:t>The first phase uses offline copies of authorized data and has no operational write path. Access should follow least privilege. Strategy files, models, scenarios, and results will be versioned. Research services should remain separated from building-control networks. Any later integration would require review by the responsible University and Biosphere 2 security teams.</w:t>
      </w:r>
    </w:p>
    <w:p>
      <w:pPr>
        <w:pageBreakBefore/>
        <w:spacing w:after="60"/>
      </w:pPr>
      <w:r>
        <w:rPr>
          <w:rFonts w:ascii="Arimo" w:hAnsi="Arimo"/>
          <w:b/>
          <w:color w:val="E69B3A"/>
          <w:sz w:val="18"/>
        </w:rPr>
        <w:t>PREPARED Q&amp;A  •  GROUP 3 OF 5</w:t>
      </w:r>
    </w:p>
    <w:p>
      <w:pPr>
        <w:pStyle w:val="Heading1"/>
      </w:pPr>
      <w:r>
        <w:t>Model and platform choices</w:t>
      </w:r>
    </w:p>
    <w:p>
      <w:pPr>
        <w:pStyle w:val="Heading3"/>
      </w:pPr>
      <w:r>
        <w:t>Q7. Why not use EnergyPlus as the entire solution?</w:t>
      </w:r>
    </w:p>
    <w:p>
      <w:pPr>
        <w:spacing w:after="160" w:line="269" w:lineRule="auto"/>
      </w:pPr>
      <w:r>
        <w:t>EnergyPlus is a mature engine for whole-building and HVAC simulation, but the RainForest is an unusual, highly coupled biome. A useful EnergyPlus model would still require geometry, system representation, parameter calibration, and validation against facility data. The PoC treats EnergyPlus as one candidate or component and compares it with lower-order and data-driven alternatives.</w:t>
      </w:r>
    </w:p>
    <w:p>
      <w:pPr>
        <w:pStyle w:val="Heading3"/>
      </w:pPr>
      <w:r>
        <w:t>Q8. Why are you considering an LSTM?</w:t>
      </w:r>
    </w:p>
    <w:p>
      <w:pPr>
        <w:spacing w:after="160" w:line="269" w:lineRule="auto"/>
      </w:pPr>
      <w:r>
        <w:t>An LSTM can represent nonlinear temporal relationships and delayed responses in long sensor histories. It may provide a practical surrogate for repeated strategy evaluation. Its limitations are equally important: it needs synchronized causal inputs, can fail outside its training region, and is harder to interpret. The PoC benchmarks it rather than assuming it is the answer.</w:t>
      </w:r>
    </w:p>
    <w:p>
      <w:pPr>
        <w:pStyle w:val="Heading3"/>
      </w:pPr>
      <w:r>
        <w:t>Q9. How can a new mathematical engine be added later?</w:t>
      </w:r>
    </w:p>
    <w:p>
      <w:pPr>
        <w:spacing w:after="160" w:line="269" w:lineRule="auto"/>
      </w:pPr>
      <w:r>
        <w:t>Every engine implements the same input and output contract. It receives an initial state, a 64-control schedule, context, and a horizon. It returns 36-channel trajectories, uncertainty, constraints, energy indicators, and diagnostics. An adapter can wrap a state-space model, a machine-learning service, EnergyPlus, Modelica, or an FMI-compatible model.</w:t>
      </w:r>
    </w:p>
    <w:p>
      <w:pPr>
        <w:pageBreakBefore/>
        <w:spacing w:after="60"/>
      </w:pPr>
      <w:r>
        <w:rPr>
          <w:rFonts w:ascii="Arimo" w:hAnsi="Arimo"/>
          <w:b/>
          <w:color w:val="E69B3A"/>
          <w:sz w:val="18"/>
        </w:rPr>
        <w:t>PREPARED Q&amp;A  •  GROUP 4 OF 5</w:t>
      </w:r>
    </w:p>
    <w:p>
      <w:pPr>
        <w:pStyle w:val="Heading1"/>
      </w:pPr>
      <w:r>
        <w:t>Value, resources, and schedule</w:t>
      </w:r>
    </w:p>
    <w:p>
      <w:pPr>
        <w:pStyle w:val="Heading3"/>
      </w:pPr>
      <w:r>
        <w:t>Q10. How will you prove energy savings?</w:t>
      </w:r>
    </w:p>
    <w:p>
      <w:pPr>
        <w:spacing w:after="160" w:line="269" w:lineRule="auto"/>
      </w:pPr>
      <w:r>
        <w:t>The PoC will first define energy indicators and calibrate them against available equipment or facility energy measurements. It can then compare strategies under identical simulated scenarios. A real savings claim would require an approved baseline and controlled operational validation that accounts for weather and operating differences. No percentage or dollar figure should be claimed before that evidence exists.</w:t>
      </w:r>
    </w:p>
    <w:p>
      <w:pPr>
        <w:pStyle w:val="Heading3"/>
      </w:pPr>
      <w:r>
        <w:t>Q11. What resources does the Proof of Concept require?</w:t>
      </w:r>
    </w:p>
    <w:p>
      <w:pPr>
        <w:spacing w:after="160" w:line="269" w:lineRule="auto"/>
      </w:pPr>
      <w:r>
        <w:t>The essential resources are authorized access to synchronized control, sensor, weather, operating-context, and energy data; regular time with an operations liaison; implementation effort; and ordinary model-training and simulation compute. The first four weeks will determine whether additional instrumentation or specialized software is necessary.</w:t>
      </w:r>
    </w:p>
    <w:p>
      <w:pPr>
        <w:pStyle w:val="Heading3"/>
      </w:pPr>
      <w:r>
        <w:t>Q12. Why is the schedule sixteen weeks?</w:t>
      </w:r>
    </w:p>
    <w:p>
      <w:pPr>
        <w:spacing w:after="160" w:line="269" w:lineRule="auto"/>
      </w:pPr>
      <w:r>
        <w:t>A shorter demonstration could connect an interface to an unvalidated model, but that would not answer the operational question. Sixteen weeks provides four stages for data alignment, model benchmarking, platform integration, and historical replay with operator review. The scope remains narrow enough to end with a clear decision about Phase 2.</w:t>
      </w:r>
    </w:p>
    <w:p>
      <w:pPr>
        <w:pageBreakBefore/>
        <w:spacing w:after="60"/>
      </w:pPr>
      <w:r>
        <w:rPr>
          <w:rFonts w:ascii="Arimo" w:hAnsi="Arimo"/>
          <w:b/>
          <w:color w:val="E69B3A"/>
          <w:sz w:val="18"/>
        </w:rPr>
        <w:t>PREPARED Q&amp;A  •  GROUP 5 OF 5</w:t>
      </w:r>
    </w:p>
    <w:p>
      <w:pPr>
        <w:pStyle w:val="Heading1"/>
      </w:pPr>
      <w:r>
        <w:t>Students, publications, and governance</w:t>
      </w:r>
    </w:p>
    <w:p>
      <w:pPr>
        <w:pStyle w:val="Heading3"/>
      </w:pPr>
      <w:r>
        <w:t>Q13. How will you prevent student code from creating operational risk?</w:t>
      </w:r>
    </w:p>
    <w:p>
      <w:pPr>
        <w:spacing w:after="160" w:line="269" w:lineRule="auto"/>
      </w:pPr>
      <w:r>
        <w:t>Students will work against offline benchmark scenarios and a documented strategy interface. Their code will not connect to facility equipment. Submissions can run in isolated containers with resource limits. The platform will validate outputs and preserve a complete run record. Only Biosphere 2 operations could authorize any later field evaluation.</w:t>
      </w:r>
    </w:p>
    <w:p>
      <w:pPr>
        <w:pStyle w:val="Heading3"/>
      </w:pPr>
      <w:r>
        <w:t>Q14. How will publications, data rights, and intellectual property be managed?</w:t>
      </w:r>
    </w:p>
    <w:p>
      <w:pPr>
        <w:spacing w:after="160" w:line="269" w:lineRule="auto"/>
      </w:pPr>
      <w:r>
        <w:t>The program should establish written rules before external participation. Those rules should identify which datasets can be shared, how sensitive operating information is protected, how results are reviewed before publication, and how authorship and intellectual property follow University and Biosphere 2 policy. Reproducible benchmark results make those decisions easier to audit.</w:t>
      </w:r>
    </w:p>
    <w:p>
      <w:pPr>
        <w:pStyle w:val="Heading3"/>
      </w:pPr>
      <w:r>
        <w:t>Q15. Who owns and maintains the platform after the PoC?</w:t>
      </w:r>
    </w:p>
    <w:p>
      <w:pPr>
        <w:spacing w:after="160" w:line="269" w:lineRule="auto"/>
      </w:pPr>
      <w:r>
        <w:t>The PoC will end with a governance recommendation rather than assume an owner. A sustainable arrangement needs a Biosphere 2 operational owner, a named technical maintainer, model and scenario release criteria, a review calendar, and a process for incident reporting and retirement of outdated engines. Leadership can decide whether that structure belongs in a research group, operations, or a joint program.</w:t>
      </w:r>
    </w:p>
    <w:p>
      <w:pPr>
        <w:pageBreakBefore/>
        <w:spacing w:after="60"/>
      </w:pPr>
      <w:r>
        <w:rPr>
          <w:rFonts w:ascii="Arimo" w:hAnsi="Arimo"/>
          <w:b/>
          <w:color w:val="167A55"/>
          <w:sz w:val="18"/>
        </w:rPr>
        <w:t>SOURCES AND HANDOFF</w:t>
      </w:r>
    </w:p>
    <w:p>
      <w:pPr>
        <w:pStyle w:val="Heading1"/>
      </w:pPr>
      <w:r>
        <w:t>References and project resources</w:t>
      </w:r>
    </w:p>
    <w:p>
      <w:pPr>
        <w:pStyle w:val="ListBullet"/>
        <w:spacing w:after="80"/>
      </w:pPr>
      <w:r>
        <w:rPr>
          <w:rFonts w:ascii="Arimo" w:hAnsi="Arimo"/>
          <w:color w:val="167A55"/>
          <w:sz w:val="19"/>
        </w:rPr>
        <w:t>https://biosphere2.org/about/about-biosphere-2</w:t>
      </w:r>
    </w:p>
    <w:p>
      <w:pPr>
        <w:pStyle w:val="ListBullet"/>
        <w:spacing w:after="80"/>
      </w:pPr>
      <w:r>
        <w:rPr>
          <w:rFonts w:ascii="Arimo" w:hAnsi="Arimo"/>
          <w:color w:val="167A55"/>
          <w:sz w:val="19"/>
        </w:rPr>
        <w:t>https://rainforest-virtual-proving-ground.dimitribolt.chatgpt.site/</w:t>
      </w:r>
    </w:p>
    <w:p>
      <w:pPr>
        <w:pStyle w:val="ListBullet"/>
        <w:spacing w:after="80"/>
      </w:pPr>
      <w:r>
        <w:rPr>
          <w:rFonts w:ascii="Arimo" w:hAnsi="Arimo"/>
          <w:color w:val="167A55"/>
          <w:sz w:val="19"/>
        </w:rPr>
        <w:t>https://fmi-standard.org/docs/main/</w:t>
      </w:r>
    </w:p>
    <w:p>
      <w:pPr>
        <w:pStyle w:val="ListBullet"/>
        <w:spacing w:after="80"/>
      </w:pPr>
      <w:r>
        <w:rPr>
          <w:rFonts w:ascii="Arimo" w:hAnsi="Arimo"/>
          <w:color w:val="167A55"/>
          <w:sz w:val="19"/>
        </w:rPr>
        <w:t>https://energyplus.net/</w:t>
      </w:r>
    </w:p>
    <w:p>
      <w:pPr>
        <w:pStyle w:val="ListBullet"/>
        <w:spacing w:after="80"/>
      </w:pPr>
      <w:r>
        <w:rPr>
          <w:rFonts w:ascii="Arimo" w:hAnsi="Arimo"/>
          <w:color w:val="167A55"/>
          <w:sz w:val="19"/>
        </w:rPr>
        <w:t>https://simulationresearch.lbl.gov/modelica/</w:t>
      </w:r>
    </w:p>
    <w:p>
      <w:pPr>
        <w:pStyle w:val="ListBullet"/>
        <w:spacing w:after="80"/>
      </w:pPr>
      <w:r>
        <w:rPr>
          <w:rFonts w:ascii="Arimo" w:hAnsi="Arimo"/>
          <w:color w:val="167A55"/>
          <w:sz w:val="19"/>
        </w:rPr>
        <w:t>https://ibpsa.github.io/project1-boptest/index.html</w:t>
      </w:r>
    </w:p>
    <w:p>
      <w:pPr>
        <w:pStyle w:val="ListBullet"/>
        <w:spacing w:after="80"/>
      </w:pPr>
      <w:r>
        <w:rPr>
          <w:rFonts w:ascii="Arimo" w:hAnsi="Arimo"/>
          <w:color w:val="167A55"/>
          <w:sz w:val="19"/>
        </w:rPr>
        <w:t>https://ibpsa.github.io/project1-boptest/docs-userguide/introduction.html</w:t>
      </w:r>
    </w:p>
    <w:p>
      <w:pPr>
        <w:pStyle w:val="ListBullet"/>
        <w:spacing w:after="80"/>
      </w:pPr>
      <w:r>
        <w:rPr>
          <w:rFonts w:ascii="Arimo" w:hAnsi="Arimo"/>
          <w:color w:val="167A55"/>
          <w:sz w:val="19"/>
        </w:rPr>
        <w:t>https://data.ashrae.org/standard140/</w:t>
      </w:r>
    </w:p>
    <w:p>
      <w:pPr>
        <w:pStyle w:val="ListBullet"/>
        <w:spacing w:after="80"/>
      </w:pPr>
      <w:r>
        <w:rPr>
          <w:rFonts w:ascii="Arimo" w:hAnsi="Arimo"/>
          <w:color w:val="167A55"/>
          <w:sz w:val="19"/>
        </w:rPr>
        <w:t>https://biosphere2.org/research/user-facility-information/energy-and-water</w:t>
      </w:r>
    </w:p>
    <w:p>
      <w:pPr>
        <w:pStyle w:val="Heading2"/>
      </w:pPr>
      <w:r>
        <w:t>Live illustrative interface</w:t>
      </w:r>
    </w:p>
    <w:p>
      <w:r>
        <w:rPr>
          <w:rFonts w:ascii="Arimo" w:hAnsi="Arimo"/>
          <w:color w:val="167A55"/>
          <w:sz w:val="20"/>
        </w:rPr>
        <w:t>https://rainforest-virtual-proving-ground.dimitribolt.chatgpt.site/</w:t>
      </w:r>
    </w:p>
    <w:p>
      <w:pPr>
        <w:spacing w:after="200"/>
      </w:pPr>
      <w:r>
        <w:t>Disclosure: the current interface demonstrates the strategy-upload and review workflow. Its scenario is illustrative and not yet generated by a validated causal model.</w:t>
      </w:r>
    </w:p>
    <w:p>
      <w:pPr>
        <w:pStyle w:val="Heading2"/>
      </w:pPr>
      <w:r>
        <w:t>Final sentence to memorize</w:t>
      </w:r>
    </w:p>
    <w:p>
      <w:r>
        <w:rPr>
          <w:rFonts w:ascii="Arimo" w:hAnsi="Arimo"/>
          <w:b/>
          <w:sz w:val="24"/>
        </w:rPr>
        <w:t>The decision is whether to create a safe, measurable way to test climate strategies before considering real-world experiments.</w:t>
      </w:r>
    </w:p>
    <w:sectPr w:rsidR="00FC693F" w:rsidRPr="0006063C" w:rsidSect="00034616">
      <w:headerReference w:type="default" r:id="rId9"/>
      <w:footerReference w:type="default" r:id="rId10"/>
      <w:pgSz w:w="12240" w:h="15840"/>
      <w:pgMar w:top="893" w:right="1037" w:bottom="893" w:left="1037"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mo" w:hAnsi="Arimo"/>
        <w:color w:val="5E7068"/>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mo" w:hAnsi="Arimo"/>
        <w:b/>
        <w:color w:val="5E7068"/>
        <w:sz w:val="15"/>
      </w:rPr>
      <w:t>RAINFOREST VIRTUAL PROVING GROUND  /  SPEAKER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6" w:lineRule="auto"/>
    </w:pPr>
    <w:rPr>
      <w:rFonts w:ascii="Arimo" w:hAnsi="Arimo"/>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rimo" w:hAnsi="Arimo"/>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mo" w:hAnsi="Arimo"/>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mo" w:hAnsi="Arimo"/>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mo" w:hAnsi="Arimo"/>
      <w:b/>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Proving Ground for RainForest Climate Strategies — Speaker Script</dc:title>
  <dc:subject>Biosphere 2 RainForest Digital Twin Proof of Concept</dc:subject>
  <dc:creator>Dimitri Bolt</dc:creator>
  <cp:keywords>Biosphere 2, RainForest, digital twin, optimal control, simulator, speaker script</cp:keywords>
  <dc:description>generated by python-docx</dc:description>
  <cp:lastModifiedBy/>
  <cp:revision>1</cp:revision>
  <dcterms:created xsi:type="dcterms:W3CDTF">2013-12-23T23:15:00Z</dcterms:created>
  <dcterms:modified xsi:type="dcterms:W3CDTF">2013-12-23T23:15:00Z</dcterms:modified>
  <cp:category/>
</cp:coreProperties>
</file>