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2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MSFT Swing System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2C5282"/>
          <w:sz w:val="40"/>
          <w:szCs w:val="40"/>
        </w:rPr>
        <w:t xml:space="preserve">Indicatori, Parametri e Codice</w:t>
      </w:r>
    </w:p>
    <w:p>
      <w:pPr>
        <w:spacing w:before="80"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Documentazione tecnica completa — Profili Conservativo / Bilanciato / Aggressivo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Ticker: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MSFT (Microsoft Corp.) — BATS Daily 1D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Periodo dati: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2013 – Febbraio 2026 (13 anni)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Trade totali: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213 (16.7/anno) — WR 52.1% — E[R] +0.504R — PF 2.08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OOS: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2021–2026 (OOS &gt; IS — nessuna degradazione)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Costo simulato: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€10/lato (€20 round-trip) su cap. €25.000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Indicatori Tecnici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sistema utilizza 14 indicatori attivi nella pipeline di calcolo (compute_all), suddivisi in 7 categorie. Nella logica della strategia vengono impiegati attivamente 8 indicatori; i restanti sono calcolati ma non usati come filtri primari.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700"/>
        <w:gridCol w:w="1560"/>
        <w:gridCol w:w="33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 output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nella strategia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EMA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Moving Average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close_10_ema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Riferimento trend breve termine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SMA 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Moving Average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close_50_sma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Filtro: close &gt; SMA50 per segnale MOM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SMA 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Moving Average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close_200_sma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Filtro: close &gt; SMA200 per segnale MR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VWMA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Moving Average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vwma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Riferimento volume-weighted (non usato nei filtri principali)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Pct from 200 SMA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Derivato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— (da SMA200)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pct_from_200sma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strutturale: esclude titoli troppo lontani dalla media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RSI (Wilder)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Momentum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rsi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MR: rsi &lt; 40 per mean reversion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Momentum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tsi_long=13, tsi_short=7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tsi, tsi_signal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Segnale MOM: crossup TSI &gt; TSI_signal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Momentum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fast=12, slow=26, signal=9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macd, macds, macdh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MOM: macdh_slope &gt; 0 (istogramma accelera)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MACD Histogram 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Momentum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diff(macdh)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macdh_slope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MOM: slope positiva = momentum in accelerazione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period=20, std=2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boll, boll_ub, boll_lb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Calcolo bandwidth e %B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Bollinger Bandwidth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(upper-lower)/mid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boll_bandwidth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CP: bw ≤ 20 → fase di compressione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Bollinger %B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(close-lower)/(upper-lower)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boll_pct_b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MR: pct_b &lt; 0.35 → prezzo nella fascia bassa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ATR (Wilder RMA)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atr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Sizing stop-loss, target 1, target 2, trailing stop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ATR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Volatilità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atr/close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atr_pct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Contesto volatilità (no filtro diretto)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ADX (Wilder)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Forza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adx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TF/CP/MOM: adx ≥ 10 → trend con forza sufficiente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+DI / −DI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Forza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plus_di, minus_di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TF: +DI &gt; −DI → trend rialzista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Efficiency Ratio (ER)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Forza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TF: er ≥ 0.22 → movimento efficiente (non rumore)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SuperTrend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Direzione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period=10, multiplier=3.0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supertrend, supertrend_direction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principale su tutti i segnali LONG: direction == −1 (bull)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Direzione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linear_regression, _slope, _r2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Contesto (non usato nei filtri principali)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Ichimoku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Struttura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tenkan=9, kijun=26, senkou_b=52, disp=26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tenkan, kijun, span_a/b, chikou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usato nei filtri principali di questa strategia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mfi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Contesto volume/denaro (non usato nei filtri principali)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Volume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Volume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volume / SMA(volume, 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volume_ratio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Contesto (non usato nei filtri principali)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Donchian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Struttura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period=20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05F5F"/>
                <w:sz w:val="17"/>
                <w:szCs w:val="17"/>
              </w:rPr>
              <w:t xml:space="preserve">donchian_high/low/mid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usato nei filtri principali di questa strategia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Parametri Configurati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Tutti i parametri sono stati ottimizzati su walk-forward 13 anni (2013–2026) e validati OOS. I valori riportati sono quelli della configurazione finale, validi per tutti e 3 i profili di rischio (che si differenziano solo nel risk/trade).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360"/>
        <w:gridCol w:w="4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Indicatori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er_period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lookback Efficiency Ratio (Kaufman)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adx_period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ADX/DI (Wilder RMA)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rsi_period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RSI (Wilder)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tsi_long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lunga del TSI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tsi_short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corta del TSI (+ signal line)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macd_fast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veloce MACD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macd_slow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lenta MACD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macd_sig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signal MACD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bb_period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Bollinger Bands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atr_period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ATR (Wilder RMA)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st_period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SuperTrend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st_multiplier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3.0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Moltiplicatore ATR SuperTrend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lr_period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Periodo regressione lineare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Segnali — TF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mer (TF)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0.22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 minimo per Trend Following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madx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ADX minimo (tutti i segnali)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require +DI&gt;-DI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Direzione DI per segnale rialzista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Segnali — 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max_bw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Bollinger Bandwidth massimo (compressione)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merc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0.16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 minimo per Compression Breakout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Segnali — MOM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tsi_cross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TSI &gt; TSI_signal (crossup)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macdh_slope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Istogramma MACD in accelerazione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close &gt; SMA50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Prezzo sopra media 50 barre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Segnali — MR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rsi_mr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RSI massimo per Mean Reversion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pb_mr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0.35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Bollinger %B massimo per MR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close &gt; SMA200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Prezzo sopra SMA200 (trend primario rialzista)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— comuni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sl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1.2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loss iniziale (TF/CP/MOM)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2.0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1 → uscita 50% posizione → 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4.0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2 → trailing stop su restante 50%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max_hold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12 barre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Timeout: chiusura forzata a close bar 12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trail_after_t1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c − 1.5×ATR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Trailing stop dinamico dopo T1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— MR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sl_mr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1.0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più stretto per mean reversion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t1_mr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1.6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1 MR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t2_mr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3.2 × ATR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2 MR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Generali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warmup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252 barre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Barre di warmup prima del primo segnale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capital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€25.000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Capitale base per calcolo costi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5F5F"/>
                <w:sz w:val="17"/>
                <w:szCs w:val="17"/>
              </w:rPr>
              <w:t xml:space="preserve">cost_rt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€20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Costo round-trip (€10/lato)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Profili di Rischio — Risultati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 3 profili condividono identici segnali, filtri e logica di exit. L'unica differenza è il risk/trade (percentuale di capitale rischiata per operazione). Il CAGR scala quasi linearmente col rischio; Sharpe e Sortino rimangono costanti.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900"/>
        <w:gridCol w:w="900"/>
        <w:gridCol w:w="760"/>
        <w:gridCol w:w="760"/>
        <w:gridCol w:w="22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TF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 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Conservativo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1.0%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400"/>
                <w:sz w:val="20"/>
                <w:szCs w:val="20"/>
              </w:rPr>
              <w:t xml:space="preserve">+7.4%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−3.95%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1.018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1.245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Equity crescente, DD quasi impercettibile. Ideale per chi vuole equity smooth su conto reale.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6000"/>
                <w:sz w:val="20"/>
                <w:szCs w:val="20"/>
              </w:rPr>
              <w:t xml:space="preserve">Bilanciato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1.8%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0.9%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1.8%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400"/>
                <w:sz w:val="20"/>
                <w:szCs w:val="20"/>
              </w:rPr>
              <w:t xml:space="preserve">+13.5%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−7.11%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1.018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1.245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Sweet spot ottimale: CAGR a doppia cifra con DD inferiore al 10%.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Aggressivo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2.5%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1.25%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2.5%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400"/>
                <w:sz w:val="20"/>
                <w:szCs w:val="20"/>
              </w:rPr>
              <w:t xml:space="preserve">+18.9%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−9.88%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1.018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1.245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Massimizza CAGR su MSFT singolo ticker. DD contenuto entro il 10%.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Nota: Sharpe e Sortino calcolati su daily returns inclusi giorni flat × √252 (metodo corretto). MR sospeso (n=1 su 13 anni — rumore). Costi €10 round-trip inclusi.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Logica dei Segnali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TF — Trend Following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ER ≥ 0.22 — movimento efficiente, non rumore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ADX ≥ 10 — trend con forza minima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+DI &gt; −DI — direzione rialzista confermata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SuperTrend direction = −1 (BULL) — filtro trend primario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Risultati OOS: n=75, WR 53.3%, E[R] +0.593R, PF 2.24 — segnale più affidabile del sistema.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CP — Compression Breakout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Bollinger Bandwidth ≤ 20 — fase di compressione volatilità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ER ≥ 0.16 — breakout con direzionalità minima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ADX ≥ 8 (= madx − 2) — soglia ridotta per catturare l'esplosione iniziale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SuperTrend direction = −1 (BULL)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Risk assegnato: 0.5× (half-risk) — in probation OOS, promuovere a full risk solo se PF &gt; 1.25 confermato.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MOM — TSI Momentum Cross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TSI crossup (TSI &gt; TSI_signal, barra precedente TSI ≤ signal) — accelerazione momentum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MACD histogram slope &gt; 0 — istogramma in accelerazione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Close &gt; SMA50 — struttura rialzista a medio termine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ADX &gt; 12 — trend presente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SuperTrend direction = −1 (BULL)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Segnale con PF più alto del sistema (IS: PF 2.58, WR 57%) ma raro (9–10 trade/anno).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4.4 MR — Mean Reversion (sospeso)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RSI &lt; 40 — ipervenduto relativo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Bollinger %B &lt; 0.35 — prezzo nel terzo inferiore delle bande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Close &gt; SMA200 — trend primario rialzista (evita catching falling knives)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SuperTrend direction = −1 (BULL)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B0000"/>
          <w:sz w:val="19"/>
          <w:szCs w:val="19"/>
        </w:rPr>
        <w:t xml:space="preserve">SOSPESO: 1 solo trade su 13 anni. Riattivare quando N ≥ 30 trade OOS. Stop 1.0×ATR, T1 1.6×ATR, T2 3.2×ATR.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Exit Logic — 4 Stadi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1 — Stop iniziale: 1.2×ATR sotto entry (1.0×ATR per MR)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2 — Target 1 (2.0×ATR sopra entry): uscita 50% posizione → stop si sposta a breakeven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3 — Trailing stop dinamico: max(entry, close − 1.5×ATR), aggiornato ogni barra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 4 — Target 2 (4.0×ATR) o timeout (12 barre): chiusura del restante 50%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2026-02-27T12:32:58.191Z</dcterms:created>
  <dcterms:modified xsi:type="dcterms:W3CDTF">2026-02-27T12:32:58.193Z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