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профосмотр</w:t>
      </w:r>
    </w:p>
    <w:p>
      <w:r>
        <w:t>Клиника INMYHEART</w:t>
      </w:r>
    </w:p>
    <w:p>
      <w:r>
        <w:t>г. Москва, ул. Сердечная, д. 12</w:t>
      </w:r>
    </w:p>
    <w:p/>
    <w:p>
      <w:r>
        <w:t>Юрлица заключают договор на email hr@inmyheart-clinic.ru.</w:t>
      </w:r>
    </w:p>
    <w:p>
      <w:r>
        <w:t>Список вредных факторов — по приказу 29н, формирует отдел охраны труда.</w:t>
      </w:r>
    </w:p>
    <w:p>
      <w:r>
        <w:t>Сотрудник приходит с паспортом и направлением от работодателя.</w:t>
      </w:r>
    </w:p>
    <w:p>
      <w:r>
        <w:t>Итоговая справка — лично в руки или через HR-отдел компании.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профосмотр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