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Порядок поведения пациентов в клинике</w:t>
      </w:r>
    </w:p>
    <w:p>
      <w:r>
        <w:t>Клиника INMYHEART — внутренний регламент посетителей.</w:t>
      </w:r>
    </w:p>
    <w:p>
      <w:r>
        <w:t>ОРВИ, температура — перенос визита; приём с кашлем без температуры — маска по желанию.</w:t>
      </w:r>
    </w:p>
    <w:p>
      <w:r>
        <w:t>Мобильные телефоны — беззвучный режим; разговоры в коридорах не более 1 минуты.</w:t>
      </w:r>
    </w:p>
    <w:p>
      <w:r>
        <w:t>Фото/видео в кабинетах запрещены; в зоне ожидания — без съёмки других пациентов.</w:t>
      </w:r>
    </w:p>
    <w:p>
      <w:r>
        <w:t>Курение, вейпы, алкоголь — запрещены на территории и в 50 м от входа.</w:t>
      </w:r>
    </w:p>
    <w:p>
      <w:r>
        <w:t>Агрессия к персоналу — отказ в обслуживании, охрана, при необходимости вызов полиции.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 поведения пациентов в клинике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