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Implementation Team OS — User Guide</w:t>
      </w:r>
    </w:p>
    <w:p>
      <w:pPr>
        <w:jc w:val="center"/>
      </w:pPr>
      <w:r>
        <w:rPr>
          <w:color w:val="555555"/>
          <w:sz w:val="22"/>
        </w:rPr>
        <w:t>BIAN-Aligned Temenos Transact Implementation Methodology</w:t>
        <w:br/>
        <w:t>Supported by 11 AI Agents</w:t>
      </w:r>
    </w:p>
    <w:p>
      <w:pPr>
        <w:jc w:val="center"/>
      </w:pPr>
      <w:r>
        <w:rPr>
          <w:color w:val="999999"/>
          <w:sz w:val="18"/>
        </w:rPr>
        <w:t>Version 1.0 | April 2026 | Dimos Gougousis</w:t>
      </w:r>
    </w:p>
    <w:p/>
    <w:p>
      <w:pPr>
        <w:pStyle w:val="Heading1"/>
      </w:pPr>
      <w:r>
        <w:t>1. Service Landscape &amp; Lifecycle</w:t>
      </w:r>
    </w:p>
    <w:p>
      <w:r>
        <w:t>The Implementation Team OS maps BIAN service domains to Temenos Transact modules, then delivers them through an 8-stage lifecycle. Each stage produces concrete artefacts and is governed by stage gates reviewed by the Steering Committee.</w:t>
      </w:r>
    </w:p>
    <w:p>
      <w:pPr>
        <w:pStyle w:val="Heading2"/>
      </w:pPr>
      <w:r>
        <w:t>BIAN Service Domain → Transact Module Mapping</w:t>
      </w:r>
    </w:p>
    <w:p>
      <w:r>
        <w:t>BIAN defines ~322 service domains across 8 business areas. Temenos Transact implements these through 128 modules exposing 26,689 active APIs (R25AMR catalog). The mapping is captured in the business capability map and API register.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551"/>
          </w:tcPr>
          <w:p>
            <w:pPr/>
            <w:r>
              <w:rPr>
                <w:b/>
                <w:sz w:val="18"/>
              </w:rPr>
              <w:t>BIAN Business Area</w:t>
            </w:r>
          </w:p>
        </w:tc>
        <w:tc>
          <w:tcPr>
            <w:tcW w:type="dxa" w:w="2551"/>
          </w:tcPr>
          <w:p>
            <w:pPr/>
            <w:r>
              <w:rPr>
                <w:b/>
                <w:sz w:val="18"/>
              </w:rPr>
              <w:t>Transact Modules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Active APIs</w:t>
            </w:r>
          </w:p>
        </w:tc>
        <w:tc>
          <w:tcPr>
            <w:tcW w:type="dxa" w:w="1984"/>
          </w:tcPr>
          <w:p>
            <w:pPr/>
            <w:r>
              <w:rPr>
                <w:b/>
                <w:sz w:val="18"/>
              </w:rPr>
              <w:t>Key Domains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Customer Management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CR, CZ, PY, CK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~468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party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Product Management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AA, AR, AD, AL, AC, RS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5,204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holdings, product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Lending &amp; Credit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FL, LC, CO, LI, CONLIB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3,283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holdings, order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Payments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FT, PP, PI, BU, DD, DB, RF, BY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3,857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order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Treasury &amp; Markets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MM, FX, FR, DX, MD, ND, RP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756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holdings, reference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Securities &amp; Wealth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FD, PM, SC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2,782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holdings, reference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Channels &amp; Digital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AO, EB, T1, T2, PW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2,388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system, party</w:t>
            </w:r>
          </w:p>
        </w:tc>
      </w:tr>
      <w:tr>
        <w:tc>
          <w:tcPr>
            <w:tcW w:type="dxa" w:w="2551"/>
          </w:tcPr>
          <w:p>
            <w:pPr/>
            <w:r>
              <w:rPr>
                <w:sz w:val="18"/>
              </w:rPr>
              <w:t>Enterprise &amp; Compliance</w:t>
            </w:r>
          </w:p>
        </w:tc>
        <w:tc>
          <w:tcPr>
            <w:tcW w:type="dxa" w:w="2551"/>
          </w:tcPr>
          <w:p>
            <w:pPr/>
            <w:r>
              <w:rPr>
                <w:sz w:val="18"/>
              </w:rPr>
              <w:t>FA, IF, IL, DW, EB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1,519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system, reference</w:t>
            </w:r>
          </w:p>
        </w:tc>
      </w:tr>
    </w:tbl>
    <w:p>
      <w:pPr>
        <w:pStyle w:val="Heading2"/>
      </w:pPr>
      <w:r>
        <w:t>8-Stage Lifecycle</w:t>
      </w:r>
    </w:p>
    <w:p>
      <w:r>
        <w:t>Every programme — greenfield or re-implementation — follows the same 8 stages. Re-implementation adds a Pre-Work phase and parallel workstreams.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pPr/>
            <w:r>
              <w:rPr>
                <w:b/>
                <w:sz w:val="18"/>
              </w:rPr>
              <w:t>Stage</w:t>
            </w:r>
          </w:p>
        </w:tc>
        <w:tc>
          <w:tcPr>
            <w:tcW w:type="dxa" w:w="680"/>
          </w:tcPr>
          <w:p>
            <w:pPr/>
            <w:r>
              <w:rPr>
                <w:b/>
                <w:sz w:val="18"/>
              </w:rPr>
              <w:t>Gate</w:t>
            </w:r>
          </w:p>
        </w:tc>
        <w:tc>
          <w:tcPr>
            <w:tcW w:type="dxa" w:w="3118"/>
          </w:tcPr>
          <w:p>
            <w:pPr/>
            <w:r>
              <w:rPr>
                <w:b/>
                <w:sz w:val="18"/>
              </w:rPr>
              <w:t>Key Activities</w:t>
            </w:r>
          </w:p>
        </w:tc>
        <w:tc>
          <w:tcPr>
            <w:tcW w:type="dxa" w:w="2721"/>
          </w:tcPr>
          <w:p>
            <w:pPr/>
            <w:r>
              <w:rPr>
                <w:b/>
                <w:sz w:val="18"/>
              </w:rPr>
              <w:t>Primary Artefacts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1. Discovery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G1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Stakeholder workshops, current-state assessment, scope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Target-State Architecture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2. Fit-Gap &amp; Process Design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G2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Module-by-module fit-gap scoring, process redesign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Fit-Gap Register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3. Solution Architecture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G3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ADRs, integration design, target-state architecture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ADR Register, Integration Map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4. Build &amp; Configure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G4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Transact configuration, customisation development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All artefacts updated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5. Testing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G5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Unit → Integration → SIT/Perf → UAT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Test Strategy &amp; KPI Dashboard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6. Data Migration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G6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Profiling, cleansing, mapping, rehearsals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Data Quality Scorecard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7. Cutover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G7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Runbook, rehearsals, go/no-go decision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Cutover Runbook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8. Hypercare</w:t>
            </w:r>
          </w:p>
        </w:tc>
        <w:tc>
          <w:tcPr>
            <w:tcW w:type="dxa" w:w="680"/>
          </w:tcPr>
          <w:p>
            <w:pPr/>
            <w:r>
              <w:rPr>
                <w:sz w:val="18"/>
              </w:rPr>
              <w:t>G8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Stabilisation, steady-state handover</w:t>
            </w:r>
          </w:p>
        </w:tc>
        <w:tc>
          <w:tcPr>
            <w:tcW w:type="dxa" w:w="2721"/>
          </w:tcPr>
          <w:p>
            <w:pPr/>
            <w:r>
              <w:rPr>
                <w:sz w:val="18"/>
              </w:rPr>
              <w:t>Operating Model</w:t>
            </w:r>
          </w:p>
        </w:tc>
      </w:tr>
    </w:tbl>
    <w:p>
      <w:pPr>
        <w:pStyle w:val="Heading2"/>
      </w:pPr>
      <w:r>
        <w:t>Greenfield vs Re-Implementation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pPr/>
            <w:r>
              <w:rPr>
                <w:b/>
                <w:sz w:val="18"/>
              </w:rPr>
              <w:t>Aspect</w:t>
            </w:r>
          </w:p>
        </w:tc>
        <w:tc>
          <w:tcPr>
            <w:tcW w:type="dxa" w:w="3402"/>
          </w:tcPr>
          <w:p>
            <w:pPr/>
            <w:r>
              <w:rPr>
                <w:b/>
                <w:sz w:val="18"/>
              </w:rPr>
              <w:t>Greenfield</w:t>
            </w:r>
          </w:p>
        </w:tc>
        <w:tc>
          <w:tcPr>
            <w:tcW w:type="dxa" w:w="3402"/>
          </w:tcPr>
          <w:p>
            <w:pPr/>
            <w:r>
              <w:rPr>
                <w:b/>
                <w:sz w:val="18"/>
              </w:rPr>
              <w:t>Re-Implementation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Lifecycle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8 stages, linear progression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Pre-Work + 8 stages, parallel workstreams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Pre-Work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N/A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Legacy assessment, data inventory, freeze planning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Workstreams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Sequential (single stream)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6 parallel: Transact Config, Data Migration, Integration, Process Redesign, Legacy Decommission, Change Mgmt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Data Migration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Minimal (reference data only)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Full: profiling, cleansing, mapping, rehearsals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Cutover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Big-bang or phased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Parallel run, phased migration, legacy decommission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Extra Stage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N/A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Legacy Decommission (Stage 9)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Key Agents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design-authority, fit-gap-analyst, integration-architect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+ data-migration-lead, cutover-manager, process-analyst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Risk Profile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Lower (no legacy constraints)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Higher (data quality, parallel run, integration cutover)</w:t>
            </w:r>
          </w:p>
        </w:tc>
      </w:tr>
    </w:tbl>
    <w:p>
      <w:r>
        <w:br w:type="page"/>
      </w:r>
    </w:p>
    <w:p>
      <w:pPr>
        <w:pStyle w:val="Heading1"/>
      </w:pPr>
      <w:r>
        <w:t>2. AI Agents by Business Area</w:t>
      </w:r>
    </w:p>
    <w:p>
      <w:r>
        <w:t>Eleven AI agents support the implementation lifecycle. Each agent owns specific artefacts, has defined skills, and hands off to downstream agents following a structured protocol.</w:t>
      </w:r>
    </w:p>
    <w:p>
      <w:pPr>
        <w:pStyle w:val="Heading2"/>
      </w:pPr>
      <w:r>
        <w:t>Agent Registry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</w:tcPr>
          <w:p>
            <w:pPr/>
            <w:r>
              <w:rPr>
                <w:b/>
                <w:sz w:val="18"/>
              </w:rPr>
              <w:t>Agent</w:t>
            </w:r>
          </w:p>
        </w:tc>
        <w:tc>
          <w:tcPr>
            <w:tcW w:type="dxa" w:w="1984"/>
          </w:tcPr>
          <w:p>
            <w:pPr/>
            <w:r>
              <w:rPr>
                <w:b/>
                <w:sz w:val="18"/>
              </w:rPr>
              <w:t>BIAN Coverage</w:t>
            </w:r>
          </w:p>
        </w:tc>
        <w:tc>
          <w:tcPr>
            <w:tcW w:type="dxa" w:w="850"/>
          </w:tcPr>
          <w:p>
            <w:pPr/>
            <w:r>
              <w:rPr>
                <w:b/>
                <w:sz w:val="18"/>
              </w:rPr>
              <w:t>Stages</w:t>
            </w:r>
          </w:p>
        </w:tc>
        <w:tc>
          <w:tcPr>
            <w:tcW w:type="dxa" w:w="1984"/>
          </w:tcPr>
          <w:p>
            <w:pPr/>
            <w:r>
              <w:rPr>
                <w:b/>
                <w:sz w:val="18"/>
              </w:rPr>
              <w:t>Owns</w:t>
            </w:r>
          </w:p>
        </w:tc>
        <w:tc>
          <w:tcPr>
            <w:tcW w:type="dxa" w:w="1701"/>
          </w:tcPr>
          <w:p>
            <w:pPr/>
            <w:r>
              <w:rPr>
                <w:b/>
                <w:sz w:val="18"/>
              </w:rPr>
              <w:t>Greenfield / Re-Impl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design-authority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Enterprise Architecture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3,4,5,6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ADRs, Target-State Arch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Channels, Enterprise Services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3,4,5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Integration Dependency Map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fit-gap-analyst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Product Management, Lending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2,3,4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Fit-Gap Register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test-strategist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(quality assurance)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3,5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Test Strategy &amp; KPI Dashboard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programme-governance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(governance)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All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Lifecycle, Stage Gates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dashboard-reporting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(reporting)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All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Analytics, STAGE-STATUS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integration-orchestrator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(coordination)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All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Pipeline coordination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operating-model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Enterprise (run-state)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3,8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Post-Go-Live Operating Model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data-migration-lead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(data quality)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2,5,6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Data Quality Scorecard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Re-Impl primary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cutover-manager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All areas (cutover)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5,6,7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Cutover Runbook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Re-Impl primary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process-analyst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Customer Mgmt, Payments</w:t>
            </w:r>
          </w:p>
        </w:tc>
        <w:tc>
          <w:tcPr>
            <w:tcW w:type="dxa" w:w="850"/>
          </w:tcPr>
          <w:p>
            <w:pPr/>
            <w:r>
              <w:rPr>
                <w:sz w:val="18"/>
              </w:rPr>
              <w:t>1,2,3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Business Process Library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Re-Impl primary</w:t>
            </w:r>
          </w:p>
        </w:tc>
      </w:tr>
    </w:tbl>
    <w:p>
      <w:pPr>
        <w:pStyle w:val="Heading2"/>
      </w:pPr>
      <w:r>
        <w:t>Agent Hand-off Protocol</w:t>
      </w:r>
    </w:p>
    <w:p>
      <w:r>
        <w:t>Artefacts move between agents through a 4-step protocol: Trigger Event → Source Agent writes artefact → Target Agent reads &amp; acknowledges → Status updated in STAGE-STATUS.md.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984"/>
          </w:tcPr>
          <w:p>
            <w:pPr/>
            <w:r>
              <w:rPr>
                <w:b/>
                <w:sz w:val="18"/>
              </w:rPr>
              <w:t>Source Agent</w:t>
            </w:r>
          </w:p>
        </w:tc>
        <w:tc>
          <w:tcPr>
            <w:tcW w:type="dxa" w:w="1984"/>
          </w:tcPr>
          <w:p>
            <w:pPr/>
            <w:r>
              <w:rPr>
                <w:b/>
                <w:sz w:val="18"/>
              </w:rPr>
              <w:t>Target Agent</w:t>
            </w:r>
          </w:p>
        </w:tc>
        <w:tc>
          <w:tcPr>
            <w:tcW w:type="dxa" w:w="2268"/>
          </w:tcPr>
          <w:p>
            <w:pPr/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2268"/>
          </w:tcPr>
          <w:p>
            <w:pPr/>
            <w:r>
              <w:rPr>
                <w:b/>
                <w:sz w:val="18"/>
              </w:rPr>
              <w:t>Trigger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fit-gap-analyst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design-authority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Fit-Gap Register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2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fit-gap-analyst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Customisation list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2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design-authority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ADR Register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ADR signed off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data-migration-lead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Integration Register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3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test-strategist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API Contracts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3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data-migration-lead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cutover-manager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Migration Strategy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6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test-strategist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cutover-manager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Entry/Exit Criteria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5 gate passed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cutover-manager</w:t>
            </w:r>
          </w:p>
        </w:tc>
        <w:tc>
          <w:tcPr>
            <w:tcW w:type="dxa" w:w="1984"/>
          </w:tcPr>
          <w:p>
            <w:pPr/>
            <w:r>
              <w:rPr>
                <w:sz w:val="18"/>
              </w:rPr>
              <w:t>operating-model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Runbook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Stage 7 gate passed</w:t>
            </w:r>
          </w:p>
        </w:tc>
      </w:tr>
    </w:tbl>
    <w:p>
      <w:pPr>
        <w:pStyle w:val="Heading2"/>
      </w:pPr>
      <w:r>
        <w:t>Agent Activation Criteria</w:t>
      </w:r>
    </w:p>
    <w:p>
      <w:r>
        <w:t>An agent is activated (status: active) only when ALL of the following are met:</w:t>
      </w:r>
    </w:p>
    <w:p>
      <w:pPr>
        <w:pStyle w:val="ListBullet"/>
      </w:pPr>
      <w:r>
        <w:rPr>
          <w:b/>
          <w:sz w:val="20"/>
        </w:rPr>
        <w:t xml:space="preserve">1. All skills have examples — </w:t>
      </w:r>
      <w:r>
        <w:rPr>
          <w:sz w:val="20"/>
        </w:rPr>
        <w:t>Each skill has at least 1 worked example with sample inputs and expected outputs</w:t>
      </w:r>
    </w:p>
    <w:p>
      <w:pPr>
        <w:pStyle w:val="ListBullet"/>
      </w:pPr>
      <w:r>
        <w:rPr>
          <w:b/>
          <w:sz w:val="20"/>
        </w:rPr>
        <w:t xml:space="preserve">2. Test programme artefact — </w:t>
      </w:r>
      <w:r>
        <w:rPr>
          <w:sz w:val="20"/>
        </w:rPr>
        <w:t>pipeline/active/test-&lt;agent&gt;/ contains a real artefact matching the template</w:t>
      </w:r>
    </w:p>
    <w:p>
      <w:pPr>
        <w:pStyle w:val="ListBullet"/>
      </w:pPr>
      <w:r>
        <w:rPr>
          <w:b/>
          <w:sz w:val="20"/>
        </w:rPr>
        <w:t xml:space="preserve">3. Hand-off validated — </w:t>
      </w:r>
      <w:r>
        <w:rPr>
          <w:sz w:val="20"/>
        </w:rPr>
        <w:t>A hand-off entry exists in STAGE-STATUS.md with status ✅ Acknowledged</w:t>
      </w:r>
    </w:p>
    <w:p>
      <w:pPr>
        <w:pStyle w:val="ListBullet"/>
      </w:pPr>
      <w:r>
        <w:rPr>
          <w:b/>
          <w:sz w:val="20"/>
        </w:rPr>
        <w:t xml:space="preserve">4. SKILLS-INVENTORY.md updated — </w:t>
      </w:r>
      <w:r>
        <w:rPr>
          <w:sz w:val="20"/>
        </w:rPr>
        <w:t>All of the agent's skills show status ✅ Complete in the inventory</w:t>
      </w:r>
    </w:p>
    <w:p>
      <w:pPr>
        <w:pStyle w:val="ListBullet"/>
      </w:pPr>
      <w:r>
        <w:rPr>
          <w:b/>
          <w:sz w:val="20"/>
        </w:rPr>
        <w:t xml:space="preserve">5. Agent file fully defined — </w:t>
      </w:r>
      <w:r>
        <w:rPr>
          <w:sz w:val="20"/>
        </w:rPr>
        <w:t>agents/&lt;name&gt;.agent.md contains full definition, not just a stub</w:t>
      </w:r>
    </w:p>
    <w:p>
      <w:r>
        <w:br w:type="page"/>
      </w:r>
    </w:p>
    <w:p>
      <w:pPr>
        <w:pStyle w:val="Heading1"/>
      </w:pPr>
      <w:r>
        <w:t>3. Artefacts &amp; Service Domain Evidence</w:t>
      </w:r>
    </w:p>
    <w:p>
      <w:r>
        <w:t>Each of the 8 artefact folders contains 5-8 constituent deliverable files that serve as evidence of service domain implementation. Programme-specific copies live in pipeline/active/&lt;programme&gt;/artefacts/.</w:t>
      </w:r>
    </w:p>
    <w:p>
      <w:pPr>
        <w:pStyle w:val="Heading2"/>
      </w:pPr>
      <w:r>
        <w:t>Artefact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54"/>
          </w:tcPr>
          <w:p>
            <w:pPr/>
            <w:r>
              <w:rPr>
                <w:b/>
                <w:sz w:val="18"/>
              </w:rPr>
              <w:t>#</w:t>
            </w:r>
          </w:p>
        </w:tc>
        <w:tc>
          <w:tcPr>
            <w:tcW w:type="dxa" w:w="1701"/>
          </w:tcPr>
          <w:p>
            <w:pPr/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67"/>
          </w:tcPr>
          <w:p>
            <w:pPr/>
            <w:r>
              <w:rPr>
                <w:b/>
                <w:sz w:val="18"/>
              </w:rPr>
              <w:t>Stage</w:t>
            </w:r>
          </w:p>
        </w:tc>
        <w:tc>
          <w:tcPr>
            <w:tcW w:type="dxa" w:w="1701"/>
          </w:tcPr>
          <w:p>
            <w:pPr/>
            <w:r>
              <w:rPr>
                <w:b/>
                <w:sz w:val="18"/>
              </w:rPr>
              <w:t>Owner Agent</w:t>
            </w:r>
          </w:p>
        </w:tc>
        <w:tc>
          <w:tcPr>
            <w:tcW w:type="dxa" w:w="2268"/>
          </w:tcPr>
          <w:p>
            <w:pPr/>
            <w:r>
              <w:rPr>
                <w:b/>
                <w:sz w:val="18"/>
              </w:rPr>
              <w:t>Key Files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Greenfield / Re-Impl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01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Architecture Decision Records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design-authority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ADR template, register, traceability matrix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02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Target-State Reference Architecture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1,3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design-authority + integration-architect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Business capability map, API register, event channels, security architecture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03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Fit-Gap Register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2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fit-gap-analyst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Master register, customisation budget, module assessments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04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Integration Dependency Map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integration-architect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Integration register, dependency graph, API/event contracts, SLA matrix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05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Data Quality Scorecard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6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data-migration-lead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Quality scorecard, profiling results, cleansing rules, mapping specs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Re-Impl primary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06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Test Strategy &amp; KPI Dashboard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5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test-strategist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Test strategy, entry/exit criteria, KPI dashboard, defect taxonomy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07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Cutover Runbook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cutover-manager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Runbook, rollback triggers, go/no-go criteria, rehearsal log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Re-Impl primary</w:t>
            </w:r>
          </w:p>
        </w:tc>
      </w:tr>
      <w:tr>
        <w:tc>
          <w:tcPr>
            <w:tcW w:type="dxa" w:w="454"/>
          </w:tcPr>
          <w:p>
            <w:pPr/>
            <w:r>
              <w:rPr>
                <w:sz w:val="18"/>
              </w:rPr>
              <w:t>08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Post-Go-Live Operating Model</w:t>
            </w:r>
          </w:p>
        </w:tc>
        <w:tc>
          <w:tcPr>
            <w:tcW w:type="dxa" w:w="567"/>
          </w:tcPr>
          <w:p>
            <w:pPr/>
            <w:r>
              <w:rPr>
                <w:sz w:val="18"/>
              </w:rPr>
              <w:t>8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operating-model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Target operating model, support tiers, incident management, upgrade cadence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Both</w:t>
            </w:r>
          </w:p>
        </w:tc>
      </w:tr>
    </w:tbl>
    <w:p>
      <w:pPr>
        <w:pStyle w:val="Heading2"/>
      </w:pPr>
      <w:r>
        <w:t>R25AMR API Catalog</w:t>
      </w:r>
    </w:p>
    <w:p>
      <w:r>
        <w:t>The Temenos R25AMR API catalog provides the technical foundation for integration design. 26,689 active APIs across 128 modules, organised into 6 domains.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17"/>
          </w:tcPr>
          <w:p>
            <w:pPr/>
            <w:r>
              <w:rPr>
                <w:b/>
                <w:sz w:val="18"/>
              </w:rPr>
              <w:t>Domain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IRF APIs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Publisher APIs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PSD2 APIs</w:t>
            </w:r>
          </w:p>
        </w:tc>
        <w:tc>
          <w:tcPr>
            <w:tcW w:type="dxa" w:w="1417"/>
          </w:tcPr>
          <w:p>
            <w:pPr/>
            <w:r>
              <w:rPr>
                <w:b/>
                <w:sz w:val="18"/>
              </w:rPr>
              <w:t>Total Active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holdings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12,000+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~12,000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order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3,300+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3,300+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~6,600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party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2,000+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2,400+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~4,400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reference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850+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850+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~1,700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product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970+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—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~970</w:t>
            </w:r>
          </w:p>
        </w:tc>
      </w:tr>
      <w:tr>
        <w:tc>
          <w:tcPr>
            <w:tcW w:type="dxa" w:w="1417"/>
          </w:tcPr>
          <w:p>
            <w:pPr/>
            <w:r>
              <w:rPr>
                <w:sz w:val="18"/>
              </w:rPr>
              <w:t>system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190+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190+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770+</w:t>
            </w:r>
          </w:p>
        </w:tc>
        <w:tc>
          <w:tcPr>
            <w:tcW w:type="dxa" w:w="1417"/>
          </w:tcPr>
          <w:p>
            <w:pPr/>
            <w:r>
              <w:rPr>
                <w:sz w:val="18"/>
              </w:rPr>
              <w:t>~1,150</w:t>
            </w:r>
          </w:p>
        </w:tc>
      </w:tr>
    </w:tbl>
    <w:p>
      <w:pPr>
        <w:pStyle w:val="Heading2"/>
      </w:pPr>
      <w:r>
        <w:t>Business Process Library</w:t>
      </w:r>
    </w:p>
    <w:p>
      <w:r>
        <w:t>22 business process areas covering 2,485+ core banking processes. Each area is mapped to Transact modules and API counts from the R25AMR catalog. The process-analyst agent uses this library during Discovery and Fit-Gap stages.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</w:tcPr>
          <w:p>
            <w:pPr/>
            <w:r>
              <w:rPr>
                <w:b/>
                <w:sz w:val="18"/>
              </w:rPr>
              <w:t>#</w:t>
            </w:r>
          </w:p>
        </w:tc>
        <w:tc>
          <w:tcPr>
            <w:tcW w:type="dxa" w:w="2835"/>
          </w:tcPr>
          <w:p>
            <w:pPr/>
            <w:r>
              <w:rPr>
                <w:b/>
                <w:sz w:val="18"/>
              </w:rPr>
              <w:t>Process Area</w:t>
            </w:r>
          </w:p>
        </w:tc>
        <w:tc>
          <w:tcPr>
            <w:tcW w:type="dxa" w:w="2268"/>
          </w:tcPr>
          <w:p>
            <w:pPr/>
            <w:r>
              <w:rPr>
                <w:b/>
                <w:sz w:val="18"/>
              </w:rPr>
              <w:t>Modules</w:t>
            </w:r>
          </w:p>
        </w:tc>
        <w:tc>
          <w:tcPr>
            <w:tcW w:type="dxa" w:w="1701"/>
          </w:tcPr>
          <w:p>
            <w:pPr/>
            <w:r>
              <w:rPr>
                <w:b/>
                <w:sz w:val="18"/>
              </w:rPr>
              <w:t>Est. APIs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01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Customer Relationship Management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CR, CZ, PY, CK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~468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02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Retail Banking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AA, AR, AD, AL, AC, RS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5,204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03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Corporate Banking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FL, LC, CO, LI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3,283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04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Transactional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FT, PP, PI, BU, DD, DB, RF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3,857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05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Treasury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MM, FX, FR, DX, MD, ND, RP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756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06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Private Wealth Management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FD, PM, SC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1,363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07–22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(16 additional areas)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Various</w:t>
            </w:r>
          </w:p>
        </w:tc>
        <w:tc>
          <w:tcPr>
            <w:tcW w:type="dxa" w:w="1701"/>
          </w:tcPr>
          <w:p>
            <w:pPr/>
            <w:r>
              <w:rPr>
                <w:sz w:val="18"/>
              </w:rPr>
              <w:t>~11,758</w:t>
            </w:r>
          </w:p>
        </w:tc>
      </w:tr>
    </w:tbl>
    <w:p>
      <w:pPr>
        <w:pStyle w:val="Heading2"/>
      </w:pPr>
      <w:r>
        <w:t>Greenfield vs Re-Implementation: Artefact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</w:tcPr>
          <w:p>
            <w:pPr/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2268"/>
          </w:tcPr>
          <w:p>
            <w:pPr/>
            <w:r>
              <w:rPr>
                <w:b/>
                <w:sz w:val="18"/>
              </w:rPr>
              <w:t>Greenfield</w:t>
            </w:r>
          </w:p>
        </w:tc>
        <w:tc>
          <w:tcPr>
            <w:tcW w:type="dxa" w:w="3402"/>
          </w:tcPr>
          <w:p>
            <w:pPr/>
            <w:r>
              <w:rPr>
                <w:b/>
                <w:sz w:val="18"/>
              </w:rPr>
              <w:t>Re-Implementation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01 ADRs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(more ADRs for legacy decisions)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02 Target-State Architecture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(includes legacy mapping)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03 Fit-Gap Register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(heavier — legacy customisations)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04 Integration Map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(includes legacy integration inventory)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05 Data Quality Scorecard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Optional (reference data only)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(full migration)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06 Test Strategy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(includes parallel run testing)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07 Cutover Runbook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Lightweight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(rehearsals, rollback, parallel run)</w:t>
            </w:r>
          </w:p>
        </w:tc>
      </w:tr>
      <w:tr>
        <w:tc>
          <w:tcPr>
            <w:tcW w:type="dxa" w:w="1984"/>
          </w:tcPr>
          <w:p>
            <w:pPr/>
            <w:r>
              <w:rPr>
                <w:sz w:val="18"/>
              </w:rPr>
              <w:t>08 Operating Model</w:t>
            </w:r>
          </w:p>
        </w:tc>
        <w:tc>
          <w:tcPr>
            <w:tcW w:type="dxa" w:w="2268"/>
          </w:tcPr>
          <w:p>
            <w:pPr/>
            <w:r>
              <w:rPr>
                <w:sz w:val="18"/>
              </w:rPr>
              <w:t>Required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Required (includes legacy decommission plan)</w:t>
            </w:r>
          </w:p>
        </w:tc>
      </w:tr>
    </w:tbl>
    <w:p>
      <w:r>
        <w:br w:type="page"/>
      </w:r>
    </w:p>
    <w:p>
      <w:pPr>
        <w:pStyle w:val="Heading1"/>
      </w:pPr>
      <w:r>
        <w:t>4. Governance &amp; Programme Activation</w:t>
      </w:r>
    </w:p>
    <w:p>
      <w:pPr>
        <w:pStyle w:val="Heading2"/>
      </w:pPr>
      <w:r>
        <w:t>Governance Principles</w:t>
      </w:r>
    </w:p>
    <w:p>
      <w:pPr>
        <w:pStyle w:val="ListBullet"/>
      </w:pPr>
      <w:r>
        <w:rPr>
          <w:b/>
          <w:sz w:val="20"/>
        </w:rPr>
        <w:t xml:space="preserve">1. Stage-gated progression — </w:t>
      </w:r>
      <w:r>
        <w:rPr>
          <w:sz w:val="20"/>
        </w:rPr>
        <w:t>No programme advances without passing the gate review for the current stage.</w:t>
      </w:r>
    </w:p>
    <w:p>
      <w:pPr>
        <w:pStyle w:val="ListBullet"/>
      </w:pPr>
      <w:r>
        <w:rPr>
          <w:b/>
          <w:sz w:val="20"/>
        </w:rPr>
        <w:t xml:space="preserve">2. Evidence-based gates — </w:t>
      </w:r>
      <w:r>
        <w:rPr>
          <w:sz w:val="20"/>
        </w:rPr>
        <w:t>Gate criteria are checklist items backed by artefacts, not opinions.</w:t>
      </w:r>
    </w:p>
    <w:p>
      <w:pPr>
        <w:pStyle w:val="ListBullet"/>
      </w:pPr>
      <w:r>
        <w:rPr>
          <w:b/>
          <w:sz w:val="20"/>
        </w:rPr>
        <w:t xml:space="preserve">3. Contribution visibility — </w:t>
      </w:r>
      <w:r>
        <w:rPr>
          <w:sz w:val="20"/>
        </w:rPr>
        <w:t>Every stage must log personal contribution and value to the bank.</w:t>
      </w:r>
    </w:p>
    <w:p>
      <w:pPr>
        <w:pStyle w:val="ListBullet"/>
      </w:pPr>
      <w:r>
        <w:rPr>
          <w:b/>
          <w:sz w:val="20"/>
        </w:rPr>
        <w:t xml:space="preserve">4. Customisation governance — </w:t>
      </w:r>
      <w:r>
        <w:rPr>
          <w:sz w:val="20"/>
        </w:rPr>
        <w:t>All customisations require ADR justification and budget tracking.</w:t>
      </w:r>
    </w:p>
    <w:p>
      <w:pPr>
        <w:pStyle w:val="ListBullet"/>
      </w:pPr>
      <w:r>
        <w:rPr>
          <w:b/>
          <w:sz w:val="20"/>
        </w:rPr>
        <w:t xml:space="preserve">5. Artefact-first — </w:t>
      </w:r>
      <w:r>
        <w:rPr>
          <w:sz w:val="20"/>
        </w:rPr>
        <w:t>Deliverables are concrete files, not slide decks or verbal updates.</w:t>
      </w:r>
    </w:p>
    <w:p>
      <w:pPr>
        <w:pStyle w:val="Heading2"/>
      </w:pPr>
      <w:r>
        <w:t>Stage-Gate Governance</w:t>
      </w:r>
    </w:p>
    <w:p>
      <w:r>
        <w:t>Each stage ends with a gate review. The programme lead completes all exit criteria, artefacts are reviewed against the gate template, and the Steering Committee approves passage.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</w:tcPr>
          <w:p>
            <w:pPr/>
            <w:r>
              <w:rPr>
                <w:b/>
                <w:sz w:val="18"/>
              </w:rPr>
              <w:t>Gate</w:t>
            </w:r>
          </w:p>
        </w:tc>
        <w:tc>
          <w:tcPr>
            <w:tcW w:type="dxa" w:w="1134"/>
          </w:tcPr>
          <w:p>
            <w:pP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835"/>
          </w:tcPr>
          <w:p>
            <w:pPr/>
            <w:r>
              <w:rPr>
                <w:b/>
                <w:sz w:val="18"/>
              </w:rPr>
              <w:t>Key Exit Criteria</w:t>
            </w:r>
          </w:p>
        </w:tc>
        <w:tc>
          <w:tcPr>
            <w:tcW w:type="dxa" w:w="2835"/>
          </w:tcPr>
          <w:p>
            <w:pPr/>
            <w:r>
              <w:rPr>
                <w:b/>
                <w:sz w:val="18"/>
              </w:rPr>
              <w:t>Steering Committee Checkpoint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G1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Discovery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Scope agreed, stakeholders identified, current-state documented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Programme scope and approach approval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G2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Fit-Gap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All modules scored, customisation budget set, processes redesigned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Customisation budget approval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G3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Architecture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ADRs signed, integration design complete, target-state validated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Architecture conformance review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G4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Build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Configuration complete, customisations developed, unit tested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Build readiness confirmation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G5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Testing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SIT passed, performance benchmarks met, UAT scheduled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UAT entry approval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G6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Migration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Data quality gates passed, rehearsals complete, mapping validated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Migration readiness confirmation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G7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Cutover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Rehearsals passed, go/no-go criteria met, rollback tested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Go-live approval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G8</w:t>
            </w:r>
          </w:p>
        </w:tc>
        <w:tc>
          <w:tcPr>
            <w:tcW w:type="dxa" w:w="1134"/>
          </w:tcPr>
          <w:p>
            <w:pPr/>
            <w:r>
              <w:rPr>
                <w:sz w:val="18"/>
              </w:rPr>
              <w:t>Hypercare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Steady-state metrics achieved, support tiers operational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Programme closure</w:t>
            </w:r>
          </w:p>
        </w:tc>
      </w:tr>
    </w:tbl>
    <w:p>
      <w:pPr>
        <w:pStyle w:val="Heading2"/>
      </w:pPr>
      <w:r>
        <w:t>Greenfield vs Re-Implementation: Governance Differences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</w:tcPr>
          <w:p>
            <w:pPr/>
            <w:r>
              <w:rPr>
                <w:b/>
                <w:sz w:val="18"/>
              </w:rPr>
              <w:t>Aspect</w:t>
            </w:r>
          </w:p>
        </w:tc>
        <w:tc>
          <w:tcPr>
            <w:tcW w:type="dxa" w:w="2835"/>
          </w:tcPr>
          <w:p>
            <w:pPr/>
            <w:r>
              <w:rPr>
                <w:b/>
                <w:sz w:val="18"/>
              </w:rPr>
              <w:t>Greenfield</w:t>
            </w:r>
          </w:p>
        </w:tc>
        <w:tc>
          <w:tcPr>
            <w:tcW w:type="dxa" w:w="3402"/>
          </w:tcPr>
          <w:p>
            <w:pPr/>
            <w:r>
              <w:rPr>
                <w:b/>
                <w:sz w:val="18"/>
              </w:rPr>
              <w:t>Re-Implementation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Gate complexity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Standard 8 gates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8 gates + parallel workstream gates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Gate G2 scope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Fit-gap against Transact standard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Fit-gap against legacy + Transact + process redesign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Gate G6 scope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Reference data load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Full data migration with quality gates and rehearsals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Gate G7 scope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Simple cutover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Complex: parallel run, phased migration, rollback plan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Workstream coordination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N/A (single stream)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6 parallel workstreams with dependency management</w:t>
            </w:r>
          </w:p>
        </w:tc>
      </w:tr>
      <w:tr>
        <w:tc>
          <w:tcPr>
            <w:tcW w:type="dxa" w:w="1701"/>
          </w:tcPr>
          <w:p>
            <w:pPr/>
            <w:r>
              <w:rPr>
                <w:sz w:val="18"/>
              </w:rPr>
              <w:t>RAID log</w:t>
            </w:r>
          </w:p>
        </w:tc>
        <w:tc>
          <w:tcPr>
            <w:tcW w:type="dxa" w:w="2835"/>
          </w:tcPr>
          <w:p>
            <w:pPr/>
            <w:r>
              <w:rPr>
                <w:sz w:val="18"/>
              </w:rPr>
              <w:t>Standard</w:t>
            </w:r>
          </w:p>
        </w:tc>
        <w:tc>
          <w:tcPr>
            <w:tcW w:type="dxa" w:w="3402"/>
          </w:tcPr>
          <w:p>
            <w:pPr/>
            <w:r>
              <w:rPr>
                <w:sz w:val="18"/>
              </w:rPr>
              <w:t>Extended (legacy risks, data quality risks, integration cutover risks)</w:t>
            </w:r>
          </w:p>
        </w:tc>
      </w:tr>
    </w:tbl>
    <w:p>
      <w:pPr>
        <w:pStyle w:val="Heading2"/>
      </w:pPr>
      <w:r>
        <w:t>Quick-Start: Activating a New Programme</w:t>
      </w:r>
    </w:p>
    <w:p>
      <w:r>
        <w:t>Follow these steps to stand up a new implementation programme:</w:t>
      </w:r>
    </w:p>
    <w:p>
      <w:pPr>
        <w:pStyle w:val="ListBullet"/>
      </w:pPr>
      <w:r>
        <w:rPr>
          <w:sz w:val="20"/>
        </w:rPr>
        <w:t>Run /new-programme &lt;name&gt; to scaffold pipeline/active/&lt;name&gt;/ with STAGE-STATUS.md, CONTRIBUTION-LOG.md, 8 gate files, and artefact placeholders.</w:t>
      </w:r>
    </w:p>
    <w:p>
      <w:pPr>
        <w:pStyle w:val="ListBullet"/>
      </w:pPr>
      <w:r>
        <w:rPr>
          <w:sz w:val="20"/>
        </w:rPr>
        <w:t>Determine programme type: Greenfield or Re-Implementation. This affects which agents are activated and which artefacts are mandatory.</w:t>
      </w:r>
    </w:p>
    <w:p>
      <w:pPr>
        <w:pStyle w:val="ListBullet"/>
      </w:pPr>
      <w:r>
        <w:rPr>
          <w:sz w:val="20"/>
        </w:rPr>
        <w:t>Activate agents in dependency order: programme-governance → dashboard-reporting → fit-gap-analyst → design-authority → integration-architect → remaining agents.</w:t>
      </w:r>
    </w:p>
    <w:p>
      <w:pPr>
        <w:pStyle w:val="ListBullet"/>
      </w:pPr>
      <w:r>
        <w:rPr>
          <w:sz w:val="20"/>
        </w:rPr>
        <w:t>Workshop each agent using the 5-step playbook: (1) Review spec, (2) Define skill acceptance criteria, (3) Write 1 skill end-to-end, (4) Test with sample programme, (5) Document.</w:t>
      </w:r>
    </w:p>
    <w:p>
      <w:pPr>
        <w:pStyle w:val="ListBullet"/>
      </w:pPr>
      <w:r>
        <w:rPr>
          <w:sz w:val="20"/>
        </w:rPr>
        <w:t>Run /impl-status to monitor cross-programme dashboard.</w:t>
      </w:r>
    </w:p>
    <w:p>
      <w:pPr>
        <w:pStyle w:val="ListBullet"/>
      </w:pPr>
      <w:r>
        <w:rPr>
          <w:sz w:val="20"/>
        </w:rPr>
        <w:t>Progress through stages by passing gate reviews. Each gate requires all exit criteria met and Steering Committee approval.</w:t>
      </w:r>
    </w:p>
    <w:p>
      <w:pPr>
        <w:pStyle w:val="Heading2"/>
      </w:pPr>
      <w:r>
        <w:t>Workshop Playbook (Per Agent)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67"/>
          </w:tcPr>
          <w:p>
            <w:pPr/>
            <w:r>
              <w:rPr>
                <w:b/>
                <w:sz w:val="18"/>
              </w:rPr>
              <w:t>Step</w:t>
            </w:r>
          </w:p>
        </w:tc>
        <w:tc>
          <w:tcPr>
            <w:tcW w:type="dxa" w:w="3969"/>
          </w:tcPr>
          <w:p>
            <w:pPr/>
            <w:r>
              <w:rPr>
                <w:b/>
                <w:sz w:val="18"/>
              </w:rPr>
              <w:t>Activity</w:t>
            </w:r>
          </w:p>
        </w:tc>
        <w:tc>
          <w:tcPr>
            <w:tcW w:type="dxa" w:w="3118"/>
          </w:tcPr>
          <w:p>
            <w:pPr/>
            <w:r>
              <w:rPr>
                <w:b/>
                <w:sz w:val="18"/>
              </w:rPr>
              <w:t>Output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pPr/>
            <w:r>
              <w:rPr>
                <w:sz w:val="18"/>
              </w:rPr>
              <w:t>Review agent spec — clarify scope, inputs, outputs, dependencies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Updated agent spec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2</w:t>
            </w:r>
          </w:p>
        </w:tc>
        <w:tc>
          <w:tcPr>
            <w:tcW w:type="dxa" w:w="3969"/>
          </w:tcPr>
          <w:p>
            <w:pPr/>
            <w:r>
              <w:rPr>
                <w:sz w:val="18"/>
              </w:rPr>
              <w:t>Define skill acceptance criteria — name, trigger, inputs, outputs, examples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Skill definitions + SKILLS-INVENTORY.md updated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pPr/>
            <w:r>
              <w:rPr>
                <w:sz w:val="18"/>
              </w:rPr>
              <w:t>Write 1 skill end-to-end — implement prompt, tools, examples, error handling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SKILL.md in .claude/skills/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4</w:t>
            </w:r>
          </w:p>
        </w:tc>
        <w:tc>
          <w:tcPr>
            <w:tcW w:type="dxa" w:w="3969"/>
          </w:tcPr>
          <w:p>
            <w:pPr/>
            <w:r>
              <w:rPr>
                <w:sz w:val="18"/>
              </w:rPr>
              <w:t>Test with sample programme — run skill against realistic data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Test programme with artefacts</w:t>
            </w:r>
          </w:p>
        </w:tc>
      </w:tr>
      <w:tr>
        <w:tc>
          <w:tcPr>
            <w:tcW w:type="dxa" w:w="567"/>
          </w:tcPr>
          <w:p>
            <w:pP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pPr/>
            <w:r>
              <w:rPr>
                <w:sz w:val="18"/>
              </w:rPr>
              <w:t>Document — update agent file, SKILLS-INVENTORY.md, agents/CLAUDE.md registry</w:t>
            </w:r>
          </w:p>
        </w:tc>
        <w:tc>
          <w:tcPr>
            <w:tcW w:type="dxa" w:w="3118"/>
          </w:tcPr>
          <w:p>
            <w:pPr/>
            <w:r>
              <w:rPr>
                <w:sz w:val="18"/>
              </w:rPr>
              <w:t>Agent activated</w:t>
            </w:r>
          </w:p>
        </w:tc>
      </w:tr>
    </w:tbl>
    <w:p/>
    <w:p>
      <w:pPr>
        <w:jc w:val="center"/>
      </w:pPr>
      <w:r>
        <w:rPr>
          <w:color w:val="AAAAAA"/>
          <w:sz w:val="16"/>
        </w:rPr>
        <w:t>Implementation Team OS — BIAN-Aligned Temenos Transact Implementation Methodology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