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30E71" w14:textId="77777777" w:rsidR="00940C7A" w:rsidRDefault="00000000">
      <w:pPr>
        <w:spacing w:after="40"/>
      </w:pPr>
      <w:r>
        <w:rPr>
          <w:rFonts w:ascii="Arial" w:eastAsia="Arial" w:hAnsi="Arial" w:cs="Arial"/>
          <w:b/>
          <w:bCs/>
          <w:color w:val="1B2A4A"/>
          <w:spacing w:val="60"/>
          <w:sz w:val="40"/>
          <w:szCs w:val="40"/>
        </w:rPr>
        <w:t>DIMOS GOUGOUSIS</w:t>
      </w:r>
    </w:p>
    <w:p w14:paraId="330DC3B1" w14:textId="6037B076" w:rsidR="00940C7A" w:rsidRDefault="00000000">
      <w:pPr>
        <w:spacing w:after="20"/>
      </w:pPr>
      <w:r>
        <w:rPr>
          <w:rFonts w:ascii="Calibri" w:eastAsia="Calibri" w:hAnsi="Calibri" w:cs="Calibri"/>
          <w:color w:val="0C6E73"/>
          <w:sz w:val="24"/>
          <w:szCs w:val="24"/>
        </w:rPr>
        <w:t xml:space="preserve">Senior Solution Architect  </w:t>
      </w:r>
      <w:r w:rsidR="001B7F83">
        <w:rPr>
          <w:rFonts w:ascii="Calibri" w:eastAsia="Calibri" w:hAnsi="Calibri" w:cs="Calibri"/>
          <w:color w:val="0C6E73"/>
          <w:sz w:val="24"/>
          <w:szCs w:val="24"/>
        </w:rPr>
        <w:t xml:space="preserve"> </w:t>
      </w:r>
      <w:r>
        <w:rPr>
          <w:rFonts w:ascii="Calibri" w:eastAsia="Calibri" w:hAnsi="Calibri" w:cs="Calibri"/>
          <w:color w:val="0C6E73"/>
          <w:sz w:val="24"/>
          <w:szCs w:val="24"/>
        </w:rPr>
        <w:t>|  Temenos Transact / T24 Reimplementation</w:t>
      </w:r>
    </w:p>
    <w:p w14:paraId="32193173" w14:textId="3EA5EA30" w:rsidR="00940C7A" w:rsidRDefault="001B7F83">
      <w:pPr>
        <w:spacing w:after="20"/>
      </w:pPr>
      <w:r>
        <w:rPr>
          <w:rFonts w:ascii="Calibri" w:eastAsia="Calibri" w:hAnsi="Calibri" w:cs="Calibri"/>
          <w:color w:val="666666"/>
        </w:rPr>
        <w:t>Amstelveen</w:t>
      </w:r>
      <w:r w:rsidR="00000000">
        <w:rPr>
          <w:rFonts w:ascii="Calibri" w:eastAsia="Calibri" w:hAnsi="Calibri" w:cs="Calibri"/>
          <w:color w:val="666666"/>
        </w:rPr>
        <w:t xml:space="preserve"> |</w:t>
      </w:r>
      <w:r>
        <w:rPr>
          <w:rFonts w:ascii="Calibri" w:eastAsia="Calibri" w:hAnsi="Calibri" w:cs="Calibri"/>
          <w:color w:val="666666"/>
        </w:rPr>
        <w:t xml:space="preserve">  +316211445195 </w:t>
      </w:r>
      <w:r w:rsidR="00000000">
        <w:rPr>
          <w:rFonts w:ascii="Calibri" w:eastAsia="Calibri" w:hAnsi="Calibri" w:cs="Calibri"/>
          <w:color w:val="666666"/>
        </w:rPr>
        <w:t xml:space="preserve"> </w:t>
      </w:r>
      <w:r>
        <w:rPr>
          <w:rFonts w:ascii="Calibri" w:eastAsia="Calibri" w:hAnsi="Calibri" w:cs="Calibri"/>
          <w:color w:val="666666"/>
        </w:rPr>
        <w:t>|</w:t>
      </w:r>
      <w:r>
        <w:rPr>
          <w:rFonts w:ascii="Calibri" w:eastAsia="Calibri" w:hAnsi="Calibri" w:cs="Calibri"/>
          <w:color w:val="666666"/>
        </w:rPr>
        <w:t xml:space="preserve"> </w:t>
      </w:r>
      <w:r w:rsidR="00000000">
        <w:rPr>
          <w:rFonts w:ascii="Calibri" w:eastAsia="Calibri" w:hAnsi="Calibri" w:cs="Calibri"/>
          <w:color w:val="666666"/>
        </w:rPr>
        <w:t xml:space="preserve"> dimos.gougousis.1976@gmail.com</w:t>
      </w:r>
    </w:p>
    <w:p w14:paraId="0B8AD296" w14:textId="77777777" w:rsidR="00940C7A" w:rsidRDefault="00940C7A">
      <w:pPr>
        <w:pBdr>
          <w:bottom w:val="single" w:sz="4" w:space="0" w:color="0C6E73"/>
        </w:pBdr>
        <w:spacing w:before="80" w:after="200"/>
      </w:pPr>
    </w:p>
    <w:p w14:paraId="67BD74BE" w14:textId="77777777" w:rsidR="00940C7A" w:rsidRDefault="00000000">
      <w:pPr>
        <w:pBdr>
          <w:bottom w:val="single" w:sz="2" w:space="4" w:color="0C6E73"/>
        </w:pBdr>
        <w:spacing w:before="300" w:after="100"/>
      </w:pPr>
      <w:r>
        <w:rPr>
          <w:rFonts w:ascii="Arial" w:eastAsia="Arial" w:hAnsi="Arial" w:cs="Arial"/>
          <w:b/>
          <w:bCs/>
          <w:color w:val="1B2A4A"/>
          <w:spacing w:val="80"/>
          <w:sz w:val="24"/>
          <w:szCs w:val="24"/>
        </w:rPr>
        <w:t>EXECUTIVE PROFILE</w:t>
      </w:r>
    </w:p>
    <w:p w14:paraId="6A349C53" w14:textId="372C46FB" w:rsidR="00940C7A" w:rsidRDefault="001B7F83">
      <w:pPr>
        <w:spacing w:before="40" w:after="40" w:line="264" w:lineRule="auto"/>
        <w:jc w:val="both"/>
      </w:pPr>
      <w:r>
        <w:rPr>
          <w:rFonts w:ascii="Calibri" w:eastAsia="Calibri" w:hAnsi="Calibri" w:cs="Calibri"/>
          <w:color w:val="333333"/>
        </w:rPr>
        <w:t xml:space="preserve">I am a </w:t>
      </w:r>
      <w:r w:rsidR="00000000">
        <w:rPr>
          <w:rFonts w:ascii="Calibri" w:eastAsia="Calibri" w:hAnsi="Calibri" w:cs="Calibri"/>
          <w:color w:val="333333"/>
        </w:rPr>
        <w:t>Senior architecture and transformation leader with deep experience in enterprise integration, requirements quality assurance, and large-scale programme governance. Positioned for Temenos Transact / T24 reimplementation leadership, bringing proven strengths in target-state architecture definition, operating model design, data architecture, stakeholder orchestration, and delivery assurance across complex, multi-workstream banking programmes.</w:t>
      </w:r>
    </w:p>
    <w:p w14:paraId="5630DAB9" w14:textId="77777777" w:rsidR="00940C7A" w:rsidRDefault="00000000">
      <w:pPr>
        <w:pBdr>
          <w:bottom w:val="single" w:sz="2" w:space="4" w:color="0C6E73"/>
        </w:pBdr>
        <w:spacing w:before="300" w:after="100"/>
      </w:pPr>
      <w:r>
        <w:rPr>
          <w:rFonts w:ascii="Arial" w:eastAsia="Arial" w:hAnsi="Arial" w:cs="Arial"/>
          <w:b/>
          <w:bCs/>
          <w:color w:val="1B2A4A"/>
          <w:spacing w:val="80"/>
          <w:sz w:val="24"/>
          <w:szCs w:val="24"/>
        </w:rPr>
        <w:t>CORE COMPETENCIES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40C7A" w14:paraId="746F62B6" w14:textId="77777777">
        <w:tblPrEx>
          <w:tblCellMar>
            <w:top w:w="0" w:type="dxa"/>
            <w:bottom w:w="0" w:type="dxa"/>
          </w:tblCellMar>
        </w:tblPrEx>
        <w:tc>
          <w:tcPr>
            <w:tcW w:w="4513" w:type="dxa"/>
            <w:tcMar>
              <w:top w:w="30" w:type="dxa"/>
              <w:left w:w="80" w:type="dxa"/>
              <w:bottom w:w="30" w:type="dxa"/>
              <w:right w:w="80" w:type="dxa"/>
            </w:tcMar>
          </w:tcPr>
          <w:p w14:paraId="2B43DB60" w14:textId="77777777" w:rsidR="00940C7A" w:rsidRDefault="00000000">
            <w:pPr>
              <w:spacing w:before="20" w:after="20"/>
            </w:pPr>
            <w:r>
              <w:rPr>
                <w:rFonts w:ascii="Calibri" w:eastAsia="Calibri" w:hAnsi="Calibri" w:cs="Calibri"/>
                <w:b/>
                <w:bCs/>
                <w:color w:val="0C6E73"/>
              </w:rPr>
              <w:t xml:space="preserve">•  </w:t>
            </w:r>
            <w:r>
              <w:rPr>
                <w:rFonts w:ascii="Calibri" w:eastAsia="Calibri" w:hAnsi="Calibri" w:cs="Calibri"/>
                <w:color w:val="333333"/>
              </w:rPr>
              <w:t>Target-State Architecture &amp; Systems Thinking</w:t>
            </w:r>
          </w:p>
        </w:tc>
        <w:tc>
          <w:tcPr>
            <w:tcW w:w="4513" w:type="dxa"/>
            <w:tcMar>
              <w:top w:w="30" w:type="dxa"/>
              <w:left w:w="80" w:type="dxa"/>
              <w:bottom w:w="30" w:type="dxa"/>
              <w:right w:w="80" w:type="dxa"/>
            </w:tcMar>
          </w:tcPr>
          <w:p w14:paraId="6543C87D" w14:textId="77777777" w:rsidR="00940C7A" w:rsidRDefault="00000000">
            <w:pPr>
              <w:spacing w:before="20" w:after="20"/>
            </w:pPr>
            <w:r>
              <w:rPr>
                <w:rFonts w:ascii="Calibri" w:eastAsia="Calibri" w:hAnsi="Calibri" w:cs="Calibri"/>
                <w:b/>
                <w:bCs/>
                <w:color w:val="0C6E73"/>
              </w:rPr>
              <w:t xml:space="preserve">•  </w:t>
            </w:r>
            <w:r>
              <w:rPr>
                <w:rFonts w:ascii="Calibri" w:eastAsia="Calibri" w:hAnsi="Calibri" w:cs="Calibri"/>
                <w:color w:val="333333"/>
              </w:rPr>
              <w:t>RESTful &amp; Event-Driven Integration Design</w:t>
            </w:r>
          </w:p>
        </w:tc>
      </w:tr>
      <w:tr w:rsidR="00940C7A" w14:paraId="7105D30C" w14:textId="77777777">
        <w:tblPrEx>
          <w:tblCellMar>
            <w:top w:w="0" w:type="dxa"/>
            <w:bottom w:w="0" w:type="dxa"/>
          </w:tblCellMar>
        </w:tblPrEx>
        <w:tc>
          <w:tcPr>
            <w:tcW w:w="4513" w:type="dxa"/>
            <w:tcMar>
              <w:top w:w="30" w:type="dxa"/>
              <w:left w:w="80" w:type="dxa"/>
              <w:bottom w:w="30" w:type="dxa"/>
              <w:right w:w="80" w:type="dxa"/>
            </w:tcMar>
          </w:tcPr>
          <w:p w14:paraId="702AD142" w14:textId="77777777" w:rsidR="00940C7A" w:rsidRDefault="00000000">
            <w:pPr>
              <w:spacing w:before="20" w:after="20"/>
            </w:pPr>
            <w:r>
              <w:rPr>
                <w:rFonts w:ascii="Calibri" w:eastAsia="Calibri" w:hAnsi="Calibri" w:cs="Calibri"/>
                <w:b/>
                <w:bCs/>
                <w:color w:val="0C6E73"/>
              </w:rPr>
              <w:t xml:space="preserve">•  </w:t>
            </w:r>
            <w:r>
              <w:rPr>
                <w:rFonts w:ascii="Calibri" w:eastAsia="Calibri" w:hAnsi="Calibri" w:cs="Calibri"/>
                <w:color w:val="333333"/>
              </w:rPr>
              <w:t>Acceptance Criteria &amp; Automated Evaluations</w:t>
            </w:r>
          </w:p>
        </w:tc>
        <w:tc>
          <w:tcPr>
            <w:tcW w:w="4513" w:type="dxa"/>
            <w:tcMar>
              <w:top w:w="30" w:type="dxa"/>
              <w:left w:w="80" w:type="dxa"/>
              <w:bottom w:w="30" w:type="dxa"/>
              <w:right w:w="80" w:type="dxa"/>
            </w:tcMar>
          </w:tcPr>
          <w:p w14:paraId="35AAB59B" w14:textId="77777777" w:rsidR="00940C7A" w:rsidRDefault="00000000">
            <w:pPr>
              <w:spacing w:before="20" w:after="20"/>
            </w:pPr>
            <w:r>
              <w:rPr>
                <w:rFonts w:ascii="Calibri" w:eastAsia="Calibri" w:hAnsi="Calibri" w:cs="Calibri"/>
                <w:b/>
                <w:bCs/>
                <w:color w:val="0C6E73"/>
              </w:rPr>
              <w:t xml:space="preserve">•  </w:t>
            </w:r>
            <w:r>
              <w:rPr>
                <w:rFonts w:ascii="Calibri" w:eastAsia="Calibri" w:hAnsi="Calibri" w:cs="Calibri"/>
                <w:color w:val="333333"/>
              </w:rPr>
              <w:t>Stakeholder &amp; Vendor Orchestration</w:t>
            </w:r>
          </w:p>
        </w:tc>
      </w:tr>
      <w:tr w:rsidR="00940C7A" w14:paraId="33CF0F68" w14:textId="77777777">
        <w:tblPrEx>
          <w:tblCellMar>
            <w:top w:w="0" w:type="dxa"/>
            <w:bottom w:w="0" w:type="dxa"/>
          </w:tblCellMar>
        </w:tblPrEx>
        <w:tc>
          <w:tcPr>
            <w:tcW w:w="4513" w:type="dxa"/>
            <w:tcMar>
              <w:top w:w="30" w:type="dxa"/>
              <w:left w:w="80" w:type="dxa"/>
              <w:bottom w:w="30" w:type="dxa"/>
              <w:right w:w="80" w:type="dxa"/>
            </w:tcMar>
          </w:tcPr>
          <w:p w14:paraId="077E681A" w14:textId="77777777" w:rsidR="00940C7A" w:rsidRDefault="00000000">
            <w:pPr>
              <w:spacing w:before="20" w:after="20"/>
            </w:pPr>
            <w:r>
              <w:rPr>
                <w:rFonts w:ascii="Calibri" w:eastAsia="Calibri" w:hAnsi="Calibri" w:cs="Calibri"/>
                <w:b/>
                <w:bCs/>
                <w:color w:val="0C6E73"/>
              </w:rPr>
              <w:t xml:space="preserve">•  </w:t>
            </w:r>
            <w:r>
              <w:rPr>
                <w:rFonts w:ascii="Calibri" w:eastAsia="Calibri" w:hAnsi="Calibri" w:cs="Calibri"/>
                <w:color w:val="333333"/>
              </w:rPr>
              <w:t>Fit-Gap Analysis &amp; Customisation Governance</w:t>
            </w:r>
          </w:p>
        </w:tc>
        <w:tc>
          <w:tcPr>
            <w:tcW w:w="4513" w:type="dxa"/>
            <w:tcMar>
              <w:top w:w="30" w:type="dxa"/>
              <w:left w:w="80" w:type="dxa"/>
              <w:bottom w:w="30" w:type="dxa"/>
              <w:right w:w="80" w:type="dxa"/>
            </w:tcMar>
          </w:tcPr>
          <w:p w14:paraId="176C60ED" w14:textId="77777777" w:rsidR="00940C7A" w:rsidRDefault="00000000">
            <w:pPr>
              <w:spacing w:before="20" w:after="20"/>
            </w:pPr>
            <w:r>
              <w:rPr>
                <w:rFonts w:ascii="Calibri" w:eastAsia="Calibri" w:hAnsi="Calibri" w:cs="Calibri"/>
                <w:b/>
                <w:bCs/>
                <w:color w:val="0C6E73"/>
              </w:rPr>
              <w:t xml:space="preserve">•  </w:t>
            </w:r>
            <w:r>
              <w:rPr>
                <w:rFonts w:ascii="Calibri" w:eastAsia="Calibri" w:hAnsi="Calibri" w:cs="Calibri"/>
                <w:color w:val="333333"/>
              </w:rPr>
              <w:t>Programme Structuring &amp; Agile at Scale</w:t>
            </w:r>
          </w:p>
        </w:tc>
      </w:tr>
      <w:tr w:rsidR="00940C7A" w14:paraId="0E4E6360" w14:textId="77777777">
        <w:tblPrEx>
          <w:tblCellMar>
            <w:top w:w="0" w:type="dxa"/>
            <w:bottom w:w="0" w:type="dxa"/>
          </w:tblCellMar>
        </w:tblPrEx>
        <w:tc>
          <w:tcPr>
            <w:tcW w:w="4513" w:type="dxa"/>
            <w:tcMar>
              <w:top w:w="30" w:type="dxa"/>
              <w:left w:w="80" w:type="dxa"/>
              <w:bottom w:w="30" w:type="dxa"/>
              <w:right w:w="80" w:type="dxa"/>
            </w:tcMar>
          </w:tcPr>
          <w:p w14:paraId="298EE22C" w14:textId="77777777" w:rsidR="00940C7A" w:rsidRDefault="00000000">
            <w:pPr>
              <w:spacing w:before="20" w:after="20"/>
            </w:pPr>
            <w:r>
              <w:rPr>
                <w:rFonts w:ascii="Calibri" w:eastAsia="Calibri" w:hAnsi="Calibri" w:cs="Calibri"/>
                <w:b/>
                <w:bCs/>
                <w:color w:val="0C6E73"/>
              </w:rPr>
              <w:t xml:space="preserve">•  </w:t>
            </w:r>
            <w:r>
              <w:rPr>
                <w:rFonts w:ascii="Calibri" w:eastAsia="Calibri" w:hAnsi="Calibri" w:cs="Calibri"/>
                <w:color w:val="333333"/>
              </w:rPr>
              <w:t>Data Migration &amp; Quality Assurance</w:t>
            </w:r>
          </w:p>
        </w:tc>
        <w:tc>
          <w:tcPr>
            <w:tcW w:w="4513" w:type="dxa"/>
            <w:tcMar>
              <w:top w:w="30" w:type="dxa"/>
              <w:left w:w="80" w:type="dxa"/>
              <w:bottom w:w="30" w:type="dxa"/>
              <w:right w:w="80" w:type="dxa"/>
            </w:tcMar>
          </w:tcPr>
          <w:p w14:paraId="69878035" w14:textId="77777777" w:rsidR="00940C7A" w:rsidRDefault="00000000">
            <w:pPr>
              <w:spacing w:before="20" w:after="20"/>
            </w:pPr>
            <w:r>
              <w:rPr>
                <w:rFonts w:ascii="Calibri" w:eastAsia="Calibri" w:hAnsi="Calibri" w:cs="Calibri"/>
                <w:b/>
                <w:bCs/>
                <w:color w:val="0C6E73"/>
              </w:rPr>
              <w:t xml:space="preserve">•  </w:t>
            </w:r>
            <w:r>
              <w:rPr>
                <w:rFonts w:ascii="Calibri" w:eastAsia="Calibri" w:hAnsi="Calibri" w:cs="Calibri"/>
                <w:color w:val="333333"/>
              </w:rPr>
              <w:t>Architecture Decision Records &amp; Traceability</w:t>
            </w:r>
          </w:p>
        </w:tc>
      </w:tr>
      <w:tr w:rsidR="00940C7A" w14:paraId="79BCF4D6" w14:textId="77777777">
        <w:tblPrEx>
          <w:tblCellMar>
            <w:top w:w="0" w:type="dxa"/>
            <w:bottom w:w="0" w:type="dxa"/>
          </w:tblCellMar>
        </w:tblPrEx>
        <w:tc>
          <w:tcPr>
            <w:tcW w:w="4513" w:type="dxa"/>
            <w:tcMar>
              <w:top w:w="30" w:type="dxa"/>
              <w:left w:w="80" w:type="dxa"/>
              <w:bottom w:w="30" w:type="dxa"/>
              <w:right w:w="80" w:type="dxa"/>
            </w:tcMar>
          </w:tcPr>
          <w:p w14:paraId="7046FF7D" w14:textId="77777777" w:rsidR="00940C7A" w:rsidRDefault="00000000">
            <w:pPr>
              <w:spacing w:before="20" w:after="20"/>
            </w:pPr>
            <w:r>
              <w:rPr>
                <w:rFonts w:ascii="Calibri" w:eastAsia="Calibri" w:hAnsi="Calibri" w:cs="Calibri"/>
                <w:b/>
                <w:bCs/>
                <w:color w:val="0C6E73"/>
              </w:rPr>
              <w:t xml:space="preserve">•  </w:t>
            </w:r>
            <w:r>
              <w:rPr>
                <w:rFonts w:ascii="Calibri" w:eastAsia="Calibri" w:hAnsi="Calibri" w:cs="Calibri"/>
                <w:color w:val="333333"/>
              </w:rPr>
              <w:t>Business Process Alignment &amp; Redesign</w:t>
            </w:r>
          </w:p>
        </w:tc>
        <w:tc>
          <w:tcPr>
            <w:tcW w:w="4513" w:type="dxa"/>
            <w:tcMar>
              <w:top w:w="30" w:type="dxa"/>
              <w:left w:w="80" w:type="dxa"/>
              <w:bottom w:w="30" w:type="dxa"/>
              <w:right w:w="80" w:type="dxa"/>
            </w:tcMar>
          </w:tcPr>
          <w:p w14:paraId="6EC43F4A" w14:textId="77777777" w:rsidR="00940C7A" w:rsidRDefault="00000000">
            <w:pPr>
              <w:spacing w:before="20" w:after="20"/>
            </w:pPr>
            <w:r>
              <w:rPr>
                <w:rFonts w:ascii="Calibri" w:eastAsia="Calibri" w:hAnsi="Calibri" w:cs="Calibri"/>
                <w:b/>
                <w:bCs/>
                <w:color w:val="0C6E73"/>
              </w:rPr>
              <w:t xml:space="preserve">•  </w:t>
            </w:r>
            <w:r>
              <w:rPr>
                <w:rFonts w:ascii="Calibri" w:eastAsia="Calibri" w:hAnsi="Calibri" w:cs="Calibri"/>
                <w:color w:val="333333"/>
              </w:rPr>
              <w:t>Post-Transformation Operating Model Design</w:t>
            </w:r>
          </w:p>
        </w:tc>
      </w:tr>
    </w:tbl>
    <w:p w14:paraId="6109B8CA" w14:textId="77777777" w:rsidR="00940C7A" w:rsidRDefault="00000000">
      <w:pPr>
        <w:pBdr>
          <w:bottom w:val="single" w:sz="2" w:space="4" w:color="0C6E73"/>
        </w:pBdr>
        <w:spacing w:before="300" w:after="100"/>
      </w:pPr>
      <w:r>
        <w:rPr>
          <w:rFonts w:ascii="Arial" w:eastAsia="Arial" w:hAnsi="Arial" w:cs="Arial"/>
          <w:b/>
          <w:bCs/>
          <w:color w:val="1B2A4A"/>
          <w:spacing w:val="80"/>
          <w:sz w:val="24"/>
          <w:szCs w:val="24"/>
        </w:rPr>
        <w:t>VALUE ACROSS THE DELIVERY LIFECYCLE</w:t>
      </w:r>
    </w:p>
    <w:p w14:paraId="4D0311BF" w14:textId="71AE4F2E" w:rsidR="00940C7A" w:rsidRDefault="00000000">
      <w:pPr>
        <w:spacing w:before="40" w:after="40" w:line="264" w:lineRule="auto"/>
        <w:jc w:val="both"/>
      </w:pPr>
      <w:r>
        <w:rPr>
          <w:rFonts w:ascii="Calibri" w:eastAsia="Calibri" w:hAnsi="Calibri" w:cs="Calibri"/>
          <w:color w:val="333333"/>
        </w:rPr>
        <w:t xml:space="preserve">Temenos Transact </w:t>
      </w:r>
      <w:r w:rsidR="001B7F83">
        <w:rPr>
          <w:rFonts w:ascii="Calibri" w:eastAsia="Calibri" w:hAnsi="Calibri" w:cs="Calibri"/>
          <w:color w:val="333333"/>
        </w:rPr>
        <w:t>reimplementation</w:t>
      </w:r>
      <w:r>
        <w:rPr>
          <w:rFonts w:ascii="Calibri" w:eastAsia="Calibri" w:hAnsi="Calibri" w:cs="Calibri"/>
          <w:color w:val="333333"/>
        </w:rPr>
        <w:t xml:space="preserve"> follow a structured delivery lifecycle from initial mobilisation through steady-state operations. The table below maps each delivery stage to specific contributions and the measurable value each delivers to the bank.</w:t>
      </w:r>
    </w:p>
    <w:p w14:paraId="09CCA99A" w14:textId="77777777" w:rsidR="00940C7A" w:rsidRDefault="00940C7A">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00"/>
        <w:gridCol w:w="3526"/>
      </w:tblGrid>
      <w:tr w:rsidR="00940C7A" w14:paraId="75CF35A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vAlign w:val="center"/>
          </w:tcPr>
          <w:p w14:paraId="0B932AED" w14:textId="77777777" w:rsidR="00940C7A" w:rsidRDefault="00000000">
            <w:r>
              <w:rPr>
                <w:rFonts w:ascii="Arial" w:eastAsia="Arial" w:hAnsi="Arial" w:cs="Arial"/>
                <w:b/>
                <w:bCs/>
                <w:color w:val="FFFFFF"/>
                <w:sz w:val="18"/>
                <w:szCs w:val="18"/>
              </w:rPr>
              <w:t>Delivery Stage</w:t>
            </w:r>
          </w:p>
        </w:tc>
        <w:tc>
          <w:tcPr>
            <w:tcW w:w="37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vAlign w:val="center"/>
          </w:tcPr>
          <w:p w14:paraId="27E27F7F" w14:textId="77777777" w:rsidR="00940C7A" w:rsidRDefault="00000000">
            <w:r>
              <w:rPr>
                <w:rFonts w:ascii="Arial" w:eastAsia="Arial" w:hAnsi="Arial" w:cs="Arial"/>
                <w:b/>
                <w:bCs/>
                <w:color w:val="FFFFFF"/>
                <w:sz w:val="18"/>
                <w:szCs w:val="18"/>
              </w:rPr>
              <w:t>My Contribution</w:t>
            </w:r>
          </w:p>
        </w:tc>
        <w:tc>
          <w:tcPr>
            <w:tcW w:w="3526"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vAlign w:val="center"/>
          </w:tcPr>
          <w:p w14:paraId="3741E3DC" w14:textId="77777777" w:rsidR="00940C7A" w:rsidRDefault="00000000">
            <w:r>
              <w:rPr>
                <w:rFonts w:ascii="Arial" w:eastAsia="Arial" w:hAnsi="Arial" w:cs="Arial"/>
                <w:b/>
                <w:bCs/>
                <w:color w:val="FFFFFF"/>
                <w:sz w:val="18"/>
                <w:szCs w:val="18"/>
              </w:rPr>
              <w:t>Value to the Bank</w:t>
            </w:r>
          </w:p>
        </w:tc>
      </w:tr>
      <w:tr w:rsidR="00940C7A" w14:paraId="4AC50DB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AFA"/>
            <w:tcMar>
              <w:top w:w="40" w:type="dxa"/>
              <w:left w:w="80" w:type="dxa"/>
              <w:bottom w:w="40" w:type="dxa"/>
              <w:right w:w="80" w:type="dxa"/>
            </w:tcMar>
          </w:tcPr>
          <w:p w14:paraId="294A337E" w14:textId="5CE928BC" w:rsidR="00940C7A" w:rsidRDefault="00000000">
            <w:pPr>
              <w:spacing w:before="20" w:after="20" w:line="252" w:lineRule="auto"/>
            </w:pPr>
            <w:r>
              <w:rPr>
                <w:rFonts w:ascii="Calibri" w:eastAsia="Calibri" w:hAnsi="Calibri" w:cs="Calibri"/>
                <w:b/>
                <w:bCs/>
                <w:color w:val="1B2A4A"/>
                <w:sz w:val="18"/>
                <w:szCs w:val="18"/>
              </w:rPr>
              <w:t xml:space="preserve">Discovery &amp; </w:t>
            </w:r>
            <w:r w:rsidR="001B7F83">
              <w:rPr>
                <w:rFonts w:ascii="Calibri" w:eastAsia="Calibri" w:hAnsi="Calibri" w:cs="Calibri"/>
                <w:b/>
                <w:bCs/>
                <w:color w:val="1B2A4A"/>
                <w:sz w:val="18"/>
                <w:szCs w:val="18"/>
              </w:rPr>
              <w:t>Scope</w:t>
            </w:r>
          </w:p>
        </w:tc>
        <w:tc>
          <w:tcPr>
            <w:tcW w:w="3700" w:type="dxa"/>
            <w:tcBorders>
              <w:top w:val="single" w:sz="1" w:space="0" w:color="CCCCCC"/>
              <w:left w:val="single" w:sz="1" w:space="0" w:color="CCCCCC"/>
              <w:bottom w:val="single" w:sz="1" w:space="0" w:color="CCCCCC"/>
              <w:right w:val="single" w:sz="1" w:space="0" w:color="CCCCCC"/>
            </w:tcBorders>
            <w:shd w:val="clear" w:color="auto" w:fill="F7FAFA"/>
            <w:tcMar>
              <w:top w:w="40" w:type="dxa"/>
              <w:left w:w="80" w:type="dxa"/>
              <w:bottom w:w="40" w:type="dxa"/>
              <w:right w:w="80" w:type="dxa"/>
            </w:tcMar>
          </w:tcPr>
          <w:p w14:paraId="1EA62AF0" w14:textId="77777777" w:rsidR="00940C7A" w:rsidRDefault="00000000">
            <w:pPr>
              <w:spacing w:before="20" w:after="20" w:line="252" w:lineRule="auto"/>
              <w:jc w:val="both"/>
            </w:pPr>
            <w:r>
              <w:rPr>
                <w:rFonts w:ascii="Calibri" w:eastAsia="Calibri" w:hAnsi="Calibri" w:cs="Calibri"/>
                <w:color w:val="333333"/>
                <w:sz w:val="18"/>
                <w:szCs w:val="18"/>
              </w:rPr>
              <w:t>Define target-state vision, scope boundaries, stakeholder alignment, and programme governance framework. Establish the Design Authority mandate and delivery principles before build begins.</w:t>
            </w:r>
          </w:p>
        </w:tc>
        <w:tc>
          <w:tcPr>
            <w:tcW w:w="3526" w:type="dxa"/>
            <w:tcBorders>
              <w:top w:val="single" w:sz="1" w:space="0" w:color="CCCCCC"/>
              <w:left w:val="single" w:sz="1" w:space="0" w:color="CCCCCC"/>
              <w:bottom w:val="single" w:sz="1" w:space="0" w:color="CCCCCC"/>
              <w:right w:val="single" w:sz="1" w:space="0" w:color="CCCCCC"/>
            </w:tcBorders>
            <w:shd w:val="clear" w:color="auto" w:fill="F7FAFA"/>
            <w:tcMar>
              <w:top w:w="40" w:type="dxa"/>
              <w:left w:w="80" w:type="dxa"/>
              <w:bottom w:w="40" w:type="dxa"/>
              <w:right w:w="80" w:type="dxa"/>
            </w:tcMar>
          </w:tcPr>
          <w:p w14:paraId="67C9FB92" w14:textId="77777777" w:rsidR="00940C7A" w:rsidRDefault="00000000">
            <w:pPr>
              <w:spacing w:before="20" w:after="20" w:line="252" w:lineRule="auto"/>
              <w:jc w:val="both"/>
            </w:pPr>
            <w:r>
              <w:rPr>
                <w:rFonts w:ascii="Calibri" w:eastAsia="Calibri" w:hAnsi="Calibri" w:cs="Calibri"/>
                <w:color w:val="333333"/>
                <w:sz w:val="18"/>
                <w:szCs w:val="18"/>
              </w:rPr>
              <w:t>Early architectural clarity prevents mid-programme pivots. The bank enters build with a validated blueprint, reducing rework, vendor dependency, and stakeholder misalignment.</w:t>
            </w:r>
          </w:p>
        </w:tc>
      </w:tr>
      <w:tr w:rsidR="00940C7A" w14:paraId="0A22E8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4AB3099" w14:textId="77777777" w:rsidR="00940C7A" w:rsidRDefault="00000000">
            <w:pPr>
              <w:spacing w:before="20" w:after="20" w:line="252" w:lineRule="auto"/>
            </w:pPr>
            <w:r>
              <w:rPr>
                <w:rFonts w:ascii="Calibri" w:eastAsia="Calibri" w:hAnsi="Calibri" w:cs="Calibri"/>
                <w:b/>
                <w:bCs/>
                <w:color w:val="1B2A4A"/>
                <w:sz w:val="18"/>
                <w:szCs w:val="18"/>
              </w:rPr>
              <w:t>Requirement &amp; Fit-Gap</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6740346" w14:textId="77777777" w:rsidR="00940C7A" w:rsidRDefault="00000000">
            <w:pPr>
              <w:spacing w:before="20" w:after="20" w:line="252" w:lineRule="auto"/>
              <w:jc w:val="both"/>
            </w:pPr>
            <w:r>
              <w:rPr>
                <w:rFonts w:ascii="Calibri" w:eastAsia="Calibri" w:hAnsi="Calibri" w:cs="Calibri"/>
                <w:color w:val="333333"/>
                <w:sz w:val="18"/>
                <w:szCs w:val="18"/>
              </w:rPr>
              <w:t>Lead structured fit-gap workshops challenging every requirement against standard Transact capabilities and Arrangement Architecture. Maintain the fit-gap register with dispositions: standard fit, configuration, API extension, or justified bespoke development.</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1BAE55EB" w14:textId="77777777" w:rsidR="00940C7A" w:rsidRDefault="00000000">
            <w:pPr>
              <w:spacing w:before="20" w:after="20" w:line="252" w:lineRule="auto"/>
              <w:jc w:val="both"/>
            </w:pPr>
            <w:r>
              <w:rPr>
                <w:rFonts w:ascii="Calibri" w:eastAsia="Calibri" w:hAnsi="Calibri" w:cs="Calibri"/>
                <w:color w:val="333333"/>
                <w:sz w:val="18"/>
                <w:szCs w:val="18"/>
              </w:rPr>
              <w:t>Dramatically reduced customisation footprint, lower maintenance costs, and simplified upgrade paths. Every deviation justified against a business case, protecting the bank from legacy complexity.</w:t>
            </w:r>
          </w:p>
        </w:tc>
      </w:tr>
      <w:tr w:rsidR="00940C7A" w14:paraId="24E8A6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AFA"/>
            <w:tcMar>
              <w:top w:w="40" w:type="dxa"/>
              <w:left w:w="80" w:type="dxa"/>
              <w:bottom w:w="40" w:type="dxa"/>
              <w:right w:w="80" w:type="dxa"/>
            </w:tcMar>
          </w:tcPr>
          <w:p w14:paraId="7848A395" w14:textId="77777777" w:rsidR="00940C7A" w:rsidRDefault="00000000">
            <w:pPr>
              <w:spacing w:before="20" w:after="20" w:line="252" w:lineRule="auto"/>
            </w:pPr>
            <w:r>
              <w:rPr>
                <w:rFonts w:ascii="Calibri" w:eastAsia="Calibri" w:hAnsi="Calibri" w:cs="Calibri"/>
                <w:b/>
                <w:bCs/>
                <w:color w:val="1B2A4A"/>
                <w:sz w:val="18"/>
                <w:szCs w:val="18"/>
              </w:rPr>
              <w:t>Solution Design</w:t>
            </w:r>
          </w:p>
        </w:tc>
        <w:tc>
          <w:tcPr>
            <w:tcW w:w="3700" w:type="dxa"/>
            <w:tcBorders>
              <w:top w:val="single" w:sz="1" w:space="0" w:color="CCCCCC"/>
              <w:left w:val="single" w:sz="1" w:space="0" w:color="CCCCCC"/>
              <w:bottom w:val="single" w:sz="1" w:space="0" w:color="CCCCCC"/>
              <w:right w:val="single" w:sz="1" w:space="0" w:color="CCCCCC"/>
            </w:tcBorders>
            <w:shd w:val="clear" w:color="auto" w:fill="F7FAFA"/>
            <w:tcMar>
              <w:top w:w="40" w:type="dxa"/>
              <w:left w:w="80" w:type="dxa"/>
              <w:bottom w:w="40" w:type="dxa"/>
              <w:right w:w="80" w:type="dxa"/>
            </w:tcMar>
          </w:tcPr>
          <w:p w14:paraId="15B8790D" w14:textId="77777777" w:rsidR="00940C7A" w:rsidRDefault="00000000">
            <w:pPr>
              <w:spacing w:before="20" w:after="20" w:line="252" w:lineRule="auto"/>
              <w:jc w:val="both"/>
            </w:pPr>
            <w:r>
              <w:rPr>
                <w:rFonts w:ascii="Calibri" w:eastAsia="Calibri" w:hAnsi="Calibri" w:cs="Calibri"/>
                <w:color w:val="333333"/>
                <w:sz w:val="18"/>
                <w:szCs w:val="18"/>
              </w:rPr>
              <w:t>Translate approved requirements into a target-state reference architecture: product model design, integration patterns, data domain mappings, and deployment topology. Produce Architecture Decision Records for every significant choice.</w:t>
            </w:r>
          </w:p>
        </w:tc>
        <w:tc>
          <w:tcPr>
            <w:tcW w:w="3526" w:type="dxa"/>
            <w:tcBorders>
              <w:top w:val="single" w:sz="1" w:space="0" w:color="CCCCCC"/>
              <w:left w:val="single" w:sz="1" w:space="0" w:color="CCCCCC"/>
              <w:bottom w:val="single" w:sz="1" w:space="0" w:color="CCCCCC"/>
              <w:right w:val="single" w:sz="1" w:space="0" w:color="CCCCCC"/>
            </w:tcBorders>
            <w:shd w:val="clear" w:color="auto" w:fill="F7FAFA"/>
            <w:tcMar>
              <w:top w:w="40" w:type="dxa"/>
              <w:left w:w="80" w:type="dxa"/>
              <w:bottom w:w="40" w:type="dxa"/>
              <w:right w:w="80" w:type="dxa"/>
            </w:tcMar>
          </w:tcPr>
          <w:p w14:paraId="6108AD2E" w14:textId="77777777" w:rsidR="00940C7A" w:rsidRDefault="00000000">
            <w:pPr>
              <w:spacing w:before="20" w:after="20" w:line="252" w:lineRule="auto"/>
              <w:jc w:val="both"/>
            </w:pPr>
            <w:r>
              <w:rPr>
                <w:rFonts w:ascii="Calibri" w:eastAsia="Calibri" w:hAnsi="Calibri" w:cs="Calibri"/>
                <w:color w:val="333333"/>
                <w:sz w:val="18"/>
                <w:szCs w:val="18"/>
              </w:rPr>
              <w:t>A traceable, auditable design baseline that de-risks build, satisfies regulatory scrutiny, and provides a single source of truth for all downstream workstreams.</w:t>
            </w:r>
          </w:p>
        </w:tc>
      </w:tr>
      <w:tr w:rsidR="00940C7A" w14:paraId="53D5D0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C3B54AE" w14:textId="77777777" w:rsidR="00940C7A" w:rsidRDefault="00000000">
            <w:pPr>
              <w:spacing w:before="20" w:after="20" w:line="252" w:lineRule="auto"/>
            </w:pPr>
            <w:r>
              <w:rPr>
                <w:rFonts w:ascii="Calibri" w:eastAsia="Calibri" w:hAnsi="Calibri" w:cs="Calibri"/>
                <w:b/>
                <w:bCs/>
                <w:color w:val="1B2A4A"/>
                <w:sz w:val="18"/>
                <w:szCs w:val="18"/>
              </w:rPr>
              <w:t>Build &amp; Configuration</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5B2C4C42" w14:textId="77777777" w:rsidR="00940C7A" w:rsidRDefault="00000000">
            <w:pPr>
              <w:spacing w:before="20" w:after="20" w:line="252" w:lineRule="auto"/>
              <w:jc w:val="both"/>
            </w:pPr>
            <w:r>
              <w:rPr>
                <w:rFonts w:ascii="Calibri" w:eastAsia="Calibri" w:hAnsi="Calibri" w:cs="Calibri"/>
                <w:color w:val="333333"/>
                <w:sz w:val="18"/>
                <w:szCs w:val="18"/>
              </w:rPr>
              <w:t>Govern product configuration against the approved design, enforce the customisation budget, and assure integration adapter development follows the agreed loosely coupled patterns. Conduct design-conformance reviews at sprint boundaries.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4D7670E5" w14:textId="77777777" w:rsidR="00940C7A" w:rsidRDefault="00000000">
            <w:pPr>
              <w:spacing w:before="20" w:after="20" w:line="252" w:lineRule="auto"/>
              <w:jc w:val="both"/>
            </w:pPr>
            <w:r>
              <w:rPr>
                <w:rFonts w:ascii="Calibri" w:eastAsia="Calibri" w:hAnsi="Calibri" w:cs="Calibri"/>
                <w:color w:val="333333"/>
                <w:sz w:val="18"/>
                <w:szCs w:val="18"/>
              </w:rPr>
              <w:t>Build output stays aligned to architecture intent. Scope creep and unauthorised customisation are caught early, protecting upgrade compatibility and total cost of ownership.</w:t>
            </w:r>
          </w:p>
        </w:tc>
      </w:tr>
      <w:tr w:rsidR="00940C7A" w14:paraId="35F916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AFA"/>
            <w:tcMar>
              <w:top w:w="40" w:type="dxa"/>
              <w:left w:w="80" w:type="dxa"/>
              <w:bottom w:w="40" w:type="dxa"/>
              <w:right w:w="80" w:type="dxa"/>
            </w:tcMar>
          </w:tcPr>
          <w:p w14:paraId="4CB6C54C" w14:textId="77777777" w:rsidR="00940C7A" w:rsidRDefault="00000000">
            <w:pPr>
              <w:spacing w:before="20" w:after="20" w:line="252" w:lineRule="auto"/>
            </w:pPr>
            <w:r>
              <w:rPr>
                <w:rFonts w:ascii="Calibri" w:eastAsia="Calibri" w:hAnsi="Calibri" w:cs="Calibri"/>
                <w:b/>
                <w:bCs/>
                <w:color w:val="1B2A4A"/>
                <w:sz w:val="18"/>
                <w:szCs w:val="18"/>
              </w:rPr>
              <w:t>Testing &amp; Traceability</w:t>
            </w:r>
          </w:p>
        </w:tc>
        <w:tc>
          <w:tcPr>
            <w:tcW w:w="3700" w:type="dxa"/>
            <w:tcBorders>
              <w:top w:val="single" w:sz="1" w:space="0" w:color="CCCCCC"/>
              <w:left w:val="single" w:sz="1" w:space="0" w:color="CCCCCC"/>
              <w:bottom w:val="single" w:sz="1" w:space="0" w:color="CCCCCC"/>
              <w:right w:val="single" w:sz="1" w:space="0" w:color="CCCCCC"/>
            </w:tcBorders>
            <w:shd w:val="clear" w:color="auto" w:fill="F7FAFA"/>
            <w:tcMar>
              <w:top w:w="40" w:type="dxa"/>
              <w:left w:w="80" w:type="dxa"/>
              <w:bottom w:w="40" w:type="dxa"/>
              <w:right w:w="80" w:type="dxa"/>
            </w:tcMar>
          </w:tcPr>
          <w:p w14:paraId="1ABBC323" w14:textId="77777777" w:rsidR="00940C7A" w:rsidRDefault="00000000">
            <w:pPr>
              <w:spacing w:before="20" w:after="20" w:line="252" w:lineRule="auto"/>
              <w:jc w:val="both"/>
            </w:pPr>
            <w:r>
              <w:rPr>
                <w:rFonts w:ascii="Calibri" w:eastAsia="Calibri" w:hAnsi="Calibri" w:cs="Calibri"/>
                <w:color w:val="333333"/>
                <w:sz w:val="18"/>
                <w:szCs w:val="18"/>
              </w:rPr>
              <w:t xml:space="preserve">Define the four-phase test strategy (Unit, Integration, SIT/Performance, UAT) with </w:t>
            </w:r>
            <w:r>
              <w:rPr>
                <w:rFonts w:ascii="Calibri" w:eastAsia="Calibri" w:hAnsi="Calibri" w:cs="Calibri"/>
                <w:color w:val="333333"/>
                <w:sz w:val="18"/>
                <w:szCs w:val="18"/>
              </w:rPr>
              <w:lastRenderedPageBreak/>
              <w:t>scenarios derived from business process alignment. Establish entry/exit criteria and KPIs: defect density, detection rate, SLA compliance, pass rate, and cycle time.</w:t>
            </w:r>
          </w:p>
        </w:tc>
        <w:tc>
          <w:tcPr>
            <w:tcW w:w="3526" w:type="dxa"/>
            <w:tcBorders>
              <w:top w:val="single" w:sz="1" w:space="0" w:color="CCCCCC"/>
              <w:left w:val="single" w:sz="1" w:space="0" w:color="CCCCCC"/>
              <w:bottom w:val="single" w:sz="1" w:space="0" w:color="CCCCCC"/>
              <w:right w:val="single" w:sz="1" w:space="0" w:color="CCCCCC"/>
            </w:tcBorders>
            <w:shd w:val="clear" w:color="auto" w:fill="F7FAFA"/>
            <w:tcMar>
              <w:top w:w="40" w:type="dxa"/>
              <w:left w:w="80" w:type="dxa"/>
              <w:bottom w:w="40" w:type="dxa"/>
              <w:right w:w="80" w:type="dxa"/>
            </w:tcMar>
          </w:tcPr>
          <w:p w14:paraId="3039D6FB" w14:textId="77777777" w:rsidR="00940C7A" w:rsidRDefault="00000000">
            <w:pPr>
              <w:spacing w:before="20" w:after="20" w:line="252" w:lineRule="auto"/>
              <w:jc w:val="both"/>
            </w:pPr>
            <w:r>
              <w:rPr>
                <w:rFonts w:ascii="Calibri" w:eastAsia="Calibri" w:hAnsi="Calibri" w:cs="Calibri"/>
                <w:color w:val="333333"/>
                <w:sz w:val="18"/>
                <w:szCs w:val="18"/>
              </w:rPr>
              <w:lastRenderedPageBreak/>
              <w:t>Go-live confidence grounded in demonstrated business-process integrity. Reduced post-go-</w:t>
            </w:r>
            <w:r>
              <w:rPr>
                <w:rFonts w:ascii="Calibri" w:eastAsia="Calibri" w:hAnsi="Calibri" w:cs="Calibri"/>
                <w:color w:val="333333"/>
                <w:sz w:val="18"/>
                <w:szCs w:val="18"/>
              </w:rPr>
              <w:lastRenderedPageBreak/>
              <w:t>live defects through a framework that bridges technical teams and business stakeholders.</w:t>
            </w:r>
          </w:p>
        </w:tc>
      </w:tr>
      <w:tr w:rsidR="00940C7A" w14:paraId="2C694A2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2FE7CD3B" w14:textId="77777777" w:rsidR="00940C7A" w:rsidRDefault="00000000">
            <w:pPr>
              <w:spacing w:before="20" w:after="20" w:line="252" w:lineRule="auto"/>
            </w:pPr>
            <w:r>
              <w:rPr>
                <w:rFonts w:ascii="Calibri" w:eastAsia="Calibri" w:hAnsi="Calibri" w:cs="Calibri"/>
                <w:b/>
                <w:bCs/>
                <w:color w:val="1B2A4A"/>
                <w:sz w:val="18"/>
                <w:szCs w:val="18"/>
              </w:rPr>
              <w:lastRenderedPageBreak/>
              <w:t>Migration &amp; Rehearsal</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6AB916DD" w14:textId="77777777" w:rsidR="00940C7A" w:rsidRDefault="00000000">
            <w:pPr>
              <w:spacing w:before="20" w:after="20" w:line="252" w:lineRule="auto"/>
              <w:jc w:val="both"/>
            </w:pPr>
            <w:r>
              <w:rPr>
                <w:rFonts w:ascii="Calibri" w:eastAsia="Calibri" w:hAnsi="Calibri" w:cs="Calibri"/>
                <w:color w:val="333333"/>
                <w:sz w:val="18"/>
                <w:szCs w:val="18"/>
              </w:rPr>
              <w:t>Own the end-to-end data migration strategy: profiling, cleansing, mapping to Transact domains, progressive rehearsals with quantified integrity thresholds, and go/no-go criteria at each milestone.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59AF1298" w14:textId="77777777" w:rsidR="00940C7A" w:rsidRDefault="00000000">
            <w:pPr>
              <w:spacing w:before="20" w:after="20" w:line="252" w:lineRule="auto"/>
              <w:jc w:val="both"/>
            </w:pPr>
            <w:r>
              <w:rPr>
                <w:rFonts w:ascii="Calibri" w:eastAsia="Calibri" w:hAnsi="Calibri" w:cs="Calibri"/>
                <w:color w:val="333333"/>
                <w:sz w:val="18"/>
                <w:szCs w:val="18"/>
              </w:rPr>
              <w:t>Clean, validated data from day one. Progressive rehearsals compress cutover windows and eliminate post-migration firefighting, ensuring regulatory-grade data confidence at go-live.</w:t>
            </w:r>
          </w:p>
        </w:tc>
      </w:tr>
    </w:tbl>
    <w:p w14:paraId="27504C11" w14:textId="19E2FF53" w:rsidR="00940C7A" w:rsidRDefault="001B7F83">
      <w:pPr>
        <w:pBdr>
          <w:bottom w:val="single" w:sz="2" w:space="4" w:color="0C6E73"/>
        </w:pBdr>
        <w:spacing w:before="300" w:after="100"/>
      </w:pPr>
      <w:r>
        <w:rPr>
          <w:rFonts w:ascii="Arial" w:eastAsia="Arial" w:hAnsi="Arial" w:cs="Arial"/>
          <w:b/>
          <w:bCs/>
          <w:color w:val="1B2A4A"/>
          <w:spacing w:val="80"/>
          <w:sz w:val="24"/>
          <w:szCs w:val="24"/>
        </w:rPr>
        <w:t>Functional and Technology Experiance</w:t>
      </w:r>
    </w:p>
    <w:p w14:paraId="0FC3A9BA" w14:textId="078AEC07" w:rsidR="00940C7A" w:rsidRDefault="00000000">
      <w:pPr>
        <w:spacing w:before="200" w:after="60"/>
      </w:pPr>
      <w:r>
        <w:rPr>
          <w:rFonts w:ascii="Arial" w:eastAsia="Arial" w:hAnsi="Arial" w:cs="Arial"/>
          <w:b/>
          <w:bCs/>
          <w:color w:val="1B2A4A"/>
          <w:sz w:val="22"/>
          <w:szCs w:val="22"/>
        </w:rPr>
        <w:t>Transact Functional Architecture</w:t>
      </w:r>
      <w:r w:rsidR="001B7F83">
        <w:rPr>
          <w:rFonts w:ascii="Arial" w:eastAsia="Arial" w:hAnsi="Arial" w:cs="Arial"/>
          <w:b/>
          <w:bCs/>
          <w:color w:val="1B2A4A"/>
          <w:sz w:val="22"/>
          <w:szCs w:val="22"/>
        </w:rPr>
        <w:t xml:space="preserve"> </w:t>
      </w:r>
    </w:p>
    <w:p w14:paraId="605306F5" w14:textId="77777777" w:rsidR="00940C7A" w:rsidRDefault="00000000">
      <w:pPr>
        <w:spacing w:before="30" w:after="30" w:line="264" w:lineRule="auto"/>
        <w:ind w:left="360" w:hanging="180"/>
      </w:pPr>
      <w:r>
        <w:rPr>
          <w:rFonts w:ascii="Calibri" w:eastAsia="Calibri" w:hAnsi="Calibri" w:cs="Calibri"/>
          <w:b/>
          <w:bCs/>
          <w:color w:val="0C6E73"/>
        </w:rPr>
        <w:t xml:space="preserve">•  </w:t>
      </w:r>
      <w:r>
        <w:rPr>
          <w:rFonts w:ascii="Calibri" w:eastAsia="Calibri" w:hAnsi="Calibri" w:cs="Calibri"/>
          <w:b/>
          <w:bCs/>
          <w:color w:val="333333"/>
        </w:rPr>
        <w:t>Product Modelling &amp; Arrangement Architecture</w:t>
      </w:r>
      <w:r>
        <w:rPr>
          <w:rFonts w:ascii="Calibri" w:eastAsia="Calibri" w:hAnsi="Calibri" w:cs="Calibri"/>
          <w:color w:val="333333"/>
        </w:rPr>
        <w:t xml:space="preserve"> — Design and govern the product catalogue using Arrangement Architecture, Product Builder, and Product Conditions. Define product groups, property classes, and lifecycle activities that align to the bank’s commercial model while preserving upgrade compatibility.</w:t>
      </w:r>
    </w:p>
    <w:p w14:paraId="6C3EBC4B" w14:textId="77777777" w:rsidR="00940C7A" w:rsidRDefault="00000000">
      <w:pPr>
        <w:spacing w:before="30" w:after="30" w:line="264" w:lineRule="auto"/>
        <w:ind w:left="360" w:hanging="180"/>
      </w:pPr>
      <w:r>
        <w:rPr>
          <w:rFonts w:ascii="Calibri" w:eastAsia="Calibri" w:hAnsi="Calibri" w:cs="Calibri"/>
          <w:b/>
          <w:bCs/>
          <w:color w:val="0C6E73"/>
        </w:rPr>
        <w:t xml:space="preserve">•  </w:t>
      </w:r>
      <w:r>
        <w:rPr>
          <w:rFonts w:ascii="Calibri" w:eastAsia="Calibri" w:hAnsi="Calibri" w:cs="Calibri"/>
          <w:b/>
          <w:bCs/>
          <w:color w:val="333333"/>
        </w:rPr>
        <w:t>Lifecycle Processing Across Core Services</w:t>
      </w:r>
      <w:r>
        <w:rPr>
          <w:rFonts w:ascii="Calibri" w:eastAsia="Calibri" w:hAnsi="Calibri" w:cs="Calibri"/>
          <w:color w:val="333333"/>
        </w:rPr>
        <w:t xml:space="preserve"> — Architect end-to-end lifecycle flows for accounts, deposits, lending, trade finance, and related services. Define how origination, servicing, maturity, and closure events propagate through Transact modules and downstream integrations.</w:t>
      </w:r>
    </w:p>
    <w:p w14:paraId="3DCA7A8A" w14:textId="77777777" w:rsidR="00940C7A" w:rsidRDefault="00000000">
      <w:pPr>
        <w:spacing w:before="30" w:after="30" w:line="264" w:lineRule="auto"/>
        <w:ind w:left="360" w:hanging="180"/>
      </w:pPr>
      <w:r>
        <w:rPr>
          <w:rFonts w:ascii="Calibri" w:eastAsia="Calibri" w:hAnsi="Calibri" w:cs="Calibri"/>
          <w:b/>
          <w:bCs/>
          <w:color w:val="0C6E73"/>
        </w:rPr>
        <w:t xml:space="preserve">•  </w:t>
      </w:r>
      <w:r>
        <w:rPr>
          <w:rFonts w:ascii="Calibri" w:eastAsia="Calibri" w:hAnsi="Calibri" w:cs="Calibri"/>
          <w:b/>
          <w:bCs/>
          <w:color w:val="333333"/>
        </w:rPr>
        <w:t>Impact of Design Decisions on Operations</w:t>
      </w:r>
      <w:r>
        <w:rPr>
          <w:rFonts w:ascii="Calibri" w:eastAsia="Calibri" w:hAnsi="Calibri" w:cs="Calibri"/>
          <w:color w:val="333333"/>
        </w:rPr>
        <w:t xml:space="preserve"> — Evaluate how product and arrangement design choices cascade into accounting entries, general ledger posting rules, servicing workflows, fee structures, and operational reporting. Ensure design decisions do not create hidden operational debt.</w:t>
      </w:r>
    </w:p>
    <w:p w14:paraId="1BCBCC30" w14:textId="77777777" w:rsidR="00940C7A" w:rsidRDefault="00000000">
      <w:pPr>
        <w:spacing w:before="30" w:after="30" w:line="264" w:lineRule="auto"/>
        <w:ind w:left="360" w:hanging="180"/>
      </w:pPr>
      <w:r>
        <w:rPr>
          <w:rFonts w:ascii="Calibri" w:eastAsia="Calibri" w:hAnsi="Calibri" w:cs="Calibri"/>
          <w:b/>
          <w:bCs/>
          <w:color w:val="0C6E73"/>
        </w:rPr>
        <w:t xml:space="preserve">•  </w:t>
      </w:r>
      <w:r>
        <w:rPr>
          <w:rFonts w:ascii="Calibri" w:eastAsia="Calibri" w:hAnsi="Calibri" w:cs="Calibri"/>
          <w:b/>
          <w:bCs/>
          <w:color w:val="333333"/>
        </w:rPr>
        <w:t>Standard Capability Before Customisation</w:t>
      </w:r>
      <w:r>
        <w:rPr>
          <w:rFonts w:ascii="Calibri" w:eastAsia="Calibri" w:hAnsi="Calibri" w:cs="Calibri"/>
          <w:color w:val="333333"/>
        </w:rPr>
        <w:t xml:space="preserve"> — Exhaust Transact standard configuration, product conditions, and arrangement properties before proposing any bespoke development. Enforce a customisation budget discipline that protects total cost of ownership and future upgrade paths.</w:t>
      </w:r>
    </w:p>
    <w:p w14:paraId="74650EEC" w14:textId="77777777" w:rsidR="00940C7A" w:rsidRDefault="00000000">
      <w:pPr>
        <w:spacing w:before="200" w:after="60"/>
      </w:pPr>
      <w:r>
        <w:rPr>
          <w:rFonts w:ascii="Arial" w:eastAsia="Arial" w:hAnsi="Arial" w:cs="Arial"/>
          <w:b/>
          <w:bCs/>
          <w:color w:val="1B2A4A"/>
          <w:sz w:val="22"/>
          <w:szCs w:val="22"/>
        </w:rPr>
        <w:t>Modern Enterprise Architecture</w:t>
      </w:r>
    </w:p>
    <w:p w14:paraId="63FA6A7E" w14:textId="77777777" w:rsidR="00940C7A" w:rsidRDefault="00000000">
      <w:pPr>
        <w:spacing w:before="30" w:after="30" w:line="264" w:lineRule="auto"/>
        <w:ind w:left="360" w:hanging="180"/>
      </w:pPr>
      <w:r>
        <w:rPr>
          <w:rFonts w:ascii="Calibri" w:eastAsia="Calibri" w:hAnsi="Calibri" w:cs="Calibri"/>
          <w:b/>
          <w:bCs/>
          <w:color w:val="0C6E73"/>
        </w:rPr>
        <w:t xml:space="preserve">•  </w:t>
      </w:r>
      <w:r>
        <w:rPr>
          <w:rFonts w:ascii="Calibri" w:eastAsia="Calibri" w:hAnsi="Calibri" w:cs="Calibri"/>
          <w:b/>
          <w:bCs/>
          <w:color w:val="333333"/>
        </w:rPr>
        <w:t>API &amp; Event Integration Choices</w:t>
      </w:r>
      <w:r>
        <w:rPr>
          <w:rFonts w:ascii="Calibri" w:eastAsia="Calibri" w:hAnsi="Calibri" w:cs="Calibri"/>
          <w:color w:val="333333"/>
        </w:rPr>
        <w:t xml:space="preserve"> — Select appropriate integration patterns across the Transact API ecosystem (Holdings, Party, Order, System, Reference) and event-driven interfaces. Define when to use synchronous API calls versus asynchronous event publishing based on business criticality and data consistency requirements.</w:t>
      </w:r>
    </w:p>
    <w:p w14:paraId="18D4603B" w14:textId="77777777" w:rsidR="00940C7A" w:rsidRDefault="00000000">
      <w:pPr>
        <w:spacing w:before="30" w:after="30" w:line="264" w:lineRule="auto"/>
        <w:ind w:left="360" w:hanging="180"/>
      </w:pPr>
      <w:r>
        <w:rPr>
          <w:rFonts w:ascii="Calibri" w:eastAsia="Calibri" w:hAnsi="Calibri" w:cs="Calibri"/>
          <w:b/>
          <w:bCs/>
          <w:color w:val="0C6E73"/>
        </w:rPr>
        <w:t xml:space="preserve">•  </w:t>
      </w:r>
      <w:r>
        <w:rPr>
          <w:rFonts w:ascii="Calibri" w:eastAsia="Calibri" w:hAnsi="Calibri" w:cs="Calibri"/>
          <w:b/>
          <w:bCs/>
          <w:color w:val="333333"/>
        </w:rPr>
        <w:t>Loose Coupling &amp; Scalable Enterprise Integration</w:t>
      </w:r>
      <w:r>
        <w:rPr>
          <w:rFonts w:ascii="Calibri" w:eastAsia="Calibri" w:hAnsi="Calibri" w:cs="Calibri"/>
          <w:color w:val="333333"/>
        </w:rPr>
        <w:t xml:space="preserve"> — Design the integration landscape using adapter-layer strategies, message queuing, and publish-subscribe patterns that decouple Transact from surrounding systems. Ensure individual services can be upgraded, replaced, or scaled independently.</w:t>
      </w:r>
    </w:p>
    <w:p w14:paraId="267C85F6" w14:textId="4EF05E92" w:rsidR="00940C7A" w:rsidRDefault="00000000">
      <w:pPr>
        <w:spacing w:before="30" w:after="30" w:line="264" w:lineRule="auto"/>
        <w:ind w:left="360" w:hanging="180"/>
        <w:rPr>
          <w:rFonts w:ascii="Calibri" w:eastAsia="Calibri" w:hAnsi="Calibri" w:cs="Calibri"/>
          <w:color w:val="333333"/>
        </w:rPr>
      </w:pPr>
      <w:r>
        <w:rPr>
          <w:rFonts w:ascii="Calibri" w:eastAsia="Calibri" w:hAnsi="Calibri" w:cs="Calibri"/>
          <w:b/>
          <w:bCs/>
          <w:color w:val="0C6E73"/>
        </w:rPr>
        <w:t xml:space="preserve">•  </w:t>
      </w:r>
      <w:r>
        <w:rPr>
          <w:rFonts w:ascii="Calibri" w:eastAsia="Calibri" w:hAnsi="Calibri" w:cs="Calibri"/>
          <w:b/>
          <w:bCs/>
          <w:color w:val="333333"/>
        </w:rPr>
        <w:t>Deployment Patterns &amp; Platform Compatibility</w:t>
      </w:r>
      <w:r>
        <w:rPr>
          <w:rFonts w:ascii="Calibri" w:eastAsia="Calibri" w:hAnsi="Calibri" w:cs="Calibri"/>
          <w:color w:val="333333"/>
        </w:rPr>
        <w:t xml:space="preserve"> — Evaluate deployment topology options including </w:t>
      </w:r>
      <w:r w:rsidR="001B7F83">
        <w:rPr>
          <w:rFonts w:ascii="Calibri" w:eastAsia="Calibri" w:hAnsi="Calibri" w:cs="Calibri"/>
          <w:color w:val="333333"/>
        </w:rPr>
        <w:t>on-premises</w:t>
      </w:r>
      <w:r>
        <w:rPr>
          <w:rFonts w:ascii="Calibri" w:eastAsia="Calibri" w:hAnsi="Calibri" w:cs="Calibri"/>
          <w:color w:val="333333"/>
        </w:rPr>
        <w:t>, cloud-native (</w:t>
      </w:r>
      <w:r w:rsidR="001B7F83">
        <w:rPr>
          <w:rFonts w:ascii="Calibri" w:eastAsia="Calibri" w:hAnsi="Calibri" w:cs="Calibri"/>
          <w:color w:val="333333"/>
        </w:rPr>
        <w:t xml:space="preserve">RedHat, </w:t>
      </w:r>
      <w:r>
        <w:rPr>
          <w:rFonts w:ascii="Calibri" w:eastAsia="Calibri" w:hAnsi="Calibri" w:cs="Calibri"/>
          <w:color w:val="333333"/>
        </w:rPr>
        <w:t>Kubernetes, containerised microservices), and Temenos Banking Cloud. Align infrastructure choices with the bank’s operational maturity and regulatory constraints.</w:t>
      </w:r>
    </w:p>
    <w:p w14:paraId="30EC84E3" w14:textId="77777777" w:rsidR="001B7F83" w:rsidRDefault="001B7F83">
      <w:pPr>
        <w:spacing w:before="30" w:after="30" w:line="264" w:lineRule="auto"/>
        <w:ind w:left="360" w:hanging="180"/>
      </w:pPr>
    </w:p>
    <w:p w14:paraId="3A94D558" w14:textId="7CB2B4C7" w:rsidR="00940C7A" w:rsidRDefault="00000000">
      <w:pPr>
        <w:pBdr>
          <w:bottom w:val="single" w:sz="2" w:space="4" w:color="0C6E73"/>
        </w:pBdr>
        <w:spacing w:before="300" w:after="100"/>
      </w:pPr>
      <w:r>
        <w:rPr>
          <w:rFonts w:ascii="Arial" w:eastAsia="Arial" w:hAnsi="Arial" w:cs="Arial"/>
          <w:b/>
          <w:bCs/>
          <w:color w:val="1B2A4A"/>
          <w:spacing w:val="80"/>
          <w:sz w:val="24"/>
          <w:szCs w:val="24"/>
        </w:rPr>
        <w:t>IMPLEMENTATION LEADERSHIP AREAS</w:t>
      </w:r>
    </w:p>
    <w:p w14:paraId="7AC97359" w14:textId="77777777" w:rsidR="00940C7A" w:rsidRDefault="00000000">
      <w:pPr>
        <w:spacing w:before="200" w:after="60"/>
      </w:pPr>
      <w:r>
        <w:rPr>
          <w:rFonts w:ascii="Arial" w:eastAsia="Arial" w:hAnsi="Arial" w:cs="Arial"/>
          <w:b/>
          <w:bCs/>
          <w:color w:val="1B2A4A"/>
          <w:sz w:val="22"/>
          <w:szCs w:val="22"/>
        </w:rPr>
        <w:t>Define and Lead Gap Analysis</w:t>
      </w:r>
    </w:p>
    <w:p w14:paraId="1D5B0A21" w14:textId="77777777" w:rsidR="00940C7A" w:rsidRDefault="00000000">
      <w:pPr>
        <w:spacing w:before="40" w:after="40" w:line="264" w:lineRule="auto"/>
        <w:jc w:val="both"/>
      </w:pPr>
      <w:r>
        <w:rPr>
          <w:rFonts w:ascii="Calibri" w:eastAsia="Calibri" w:hAnsi="Calibri" w:cs="Calibri"/>
          <w:color w:val="333333"/>
        </w:rPr>
        <w:t>Lead structured fit-gap workshops that challenge every customisation against standard Transact capabilities and Arrangement Architecture. Maintain a fit-gap register with clear dispositions—standard fit, configuration, API extension, or justified bespoke development—enforcing a rigorous customisation budget discipline. Analytical and facilitation skills honed through quality engineering leadership, where defining precise acceptance criteria, enforcing requirements traceability, and maintaining scope discipline are essential.</w:t>
      </w:r>
    </w:p>
    <w:p w14:paraId="48A063F0" w14:textId="77777777" w:rsidR="00940C7A" w:rsidRDefault="00000000">
      <w:pPr>
        <w:spacing w:before="40" w:after="80" w:line="264" w:lineRule="auto"/>
        <w:ind w:left="360"/>
        <w:jc w:val="both"/>
      </w:pPr>
      <w:r>
        <w:rPr>
          <w:rFonts w:ascii="Calibri" w:eastAsia="Calibri" w:hAnsi="Calibri" w:cs="Calibri"/>
          <w:b/>
          <w:bCs/>
          <w:i/>
          <w:iCs/>
          <w:color w:val="0C6E73"/>
        </w:rPr>
        <w:t xml:space="preserve">Value to the Bank: </w:t>
      </w:r>
      <w:r>
        <w:rPr>
          <w:rFonts w:ascii="Calibri" w:eastAsia="Calibri" w:hAnsi="Calibri" w:cs="Calibri"/>
          <w:i/>
          <w:iCs/>
          <w:color w:val="333333"/>
        </w:rPr>
        <w:t>Dramatically reduced customisation footprint, lower maintenance costs, simplified upgrade paths, and shorter adoption cycles for Temenos releases. Every customisation justified against a business case, ensuring the bank avoids the legacy complexity trap.</w:t>
      </w:r>
    </w:p>
    <w:p w14:paraId="4C26C0C2" w14:textId="77777777" w:rsidR="00940C7A" w:rsidRDefault="00000000">
      <w:pPr>
        <w:spacing w:before="200" w:after="60"/>
      </w:pPr>
      <w:r>
        <w:rPr>
          <w:rFonts w:ascii="Arial" w:eastAsia="Arial" w:hAnsi="Arial" w:cs="Arial"/>
          <w:b/>
          <w:bCs/>
          <w:color w:val="1B2A4A"/>
          <w:sz w:val="22"/>
          <w:szCs w:val="22"/>
        </w:rPr>
        <w:lastRenderedPageBreak/>
        <w:t>Align Business Process to Target System</w:t>
      </w:r>
    </w:p>
    <w:p w14:paraId="05BDB2C3" w14:textId="77777777" w:rsidR="00940C7A" w:rsidRDefault="00000000">
      <w:pPr>
        <w:spacing w:before="40" w:after="40" w:line="264" w:lineRule="auto"/>
        <w:jc w:val="both"/>
      </w:pPr>
      <w:r>
        <w:rPr>
          <w:rFonts w:ascii="Calibri" w:eastAsia="Calibri" w:hAnsi="Calibri" w:cs="Calibri"/>
          <w:color w:val="333333"/>
        </w:rPr>
        <w:t>Map current-state processes to the Transact target model, identifying simplification and automation opportunities through Arrangement Architecture and Product Builder. Facilitate re-engineering workshops with front-office, risk, and compliance teams. Trace every business requirement to a Transact capability, API endpoint, or event pattern—ensuring the implementation is a genuine business transformation, not merely a technology migration.</w:t>
      </w:r>
    </w:p>
    <w:p w14:paraId="597FA5F9" w14:textId="77777777" w:rsidR="00940C7A" w:rsidRDefault="00000000">
      <w:pPr>
        <w:spacing w:before="40" w:after="80" w:line="264" w:lineRule="auto"/>
        <w:ind w:left="360"/>
        <w:jc w:val="both"/>
      </w:pPr>
      <w:r>
        <w:rPr>
          <w:rFonts w:ascii="Calibri" w:eastAsia="Calibri" w:hAnsi="Calibri" w:cs="Calibri"/>
          <w:b/>
          <w:bCs/>
          <w:i/>
          <w:iCs/>
          <w:color w:val="0C6E73"/>
        </w:rPr>
        <w:t xml:space="preserve">Value to the Bank: </w:t>
      </w:r>
      <w:r>
        <w:rPr>
          <w:rFonts w:ascii="Calibri" w:eastAsia="Calibri" w:hAnsi="Calibri" w:cs="Calibri"/>
          <w:i/>
          <w:iCs/>
          <w:color w:val="333333"/>
        </w:rPr>
        <w:t>Processes designed for the target platform rather than legacy workarounds, realising the efficiency and agility benefits that justified the investment. Significantly reduced late-stage change requests through early, disciplined alignment.</w:t>
      </w:r>
    </w:p>
    <w:p w14:paraId="110F3812" w14:textId="77777777" w:rsidR="00940C7A" w:rsidRDefault="00000000">
      <w:pPr>
        <w:spacing w:before="200" w:after="60"/>
      </w:pPr>
      <w:r>
        <w:rPr>
          <w:rFonts w:ascii="Arial" w:eastAsia="Arial" w:hAnsi="Arial" w:cs="Arial"/>
          <w:b/>
          <w:bCs/>
          <w:color w:val="1B2A4A"/>
          <w:sz w:val="22"/>
          <w:szCs w:val="22"/>
        </w:rPr>
        <w:t>System Integration and Events Management</w:t>
      </w:r>
    </w:p>
    <w:p w14:paraId="0FE6D2A0" w14:textId="77777777" w:rsidR="00940C7A" w:rsidRDefault="00000000">
      <w:pPr>
        <w:spacing w:before="40" w:after="40" w:line="264" w:lineRule="auto"/>
        <w:jc w:val="both"/>
      </w:pPr>
      <w:r>
        <w:rPr>
          <w:rFonts w:ascii="Calibri" w:eastAsia="Calibri" w:hAnsi="Calibri" w:cs="Calibri"/>
          <w:color w:val="333333"/>
        </w:rPr>
        <w:t>Own end-to-end integration architecture, mapping external touchpoints—payments, cards, CRM, reporting, data warehouse—to Transact APIs or event-driven integration via message queuing and publish-subscribe patterns. Design the adapter-layer strategy following the Temenos fulfilment service model. Maintain the integration register and dependency map through design, system integration testing, and production cutover.</w:t>
      </w:r>
    </w:p>
    <w:p w14:paraId="252AED90" w14:textId="77777777" w:rsidR="00940C7A" w:rsidRDefault="00000000">
      <w:pPr>
        <w:spacing w:before="40" w:after="80" w:line="264" w:lineRule="auto"/>
        <w:ind w:left="360"/>
        <w:jc w:val="both"/>
      </w:pPr>
      <w:r>
        <w:rPr>
          <w:rFonts w:ascii="Calibri" w:eastAsia="Calibri" w:hAnsi="Calibri" w:cs="Calibri"/>
          <w:b/>
          <w:bCs/>
          <w:i/>
          <w:iCs/>
          <w:color w:val="0C6E73"/>
        </w:rPr>
        <w:t xml:space="preserve">Value to the Bank: </w:t>
      </w:r>
      <w:r>
        <w:rPr>
          <w:rFonts w:ascii="Calibri" w:eastAsia="Calibri" w:hAnsi="Calibri" w:cs="Calibri"/>
          <w:i/>
          <w:iCs/>
          <w:color w:val="333333"/>
        </w:rPr>
        <w:t>A scalable, loosely coupled integration landscape replacing fragile point-to-point connections. Individual services can be upgraded independently, reducing integration cost by leveraging native event patterns and ensuring long-term architectural resilience.</w:t>
      </w:r>
    </w:p>
    <w:p w14:paraId="7AE871F2" w14:textId="77777777" w:rsidR="00940C7A" w:rsidRDefault="00000000">
      <w:pPr>
        <w:spacing w:before="200" w:after="60"/>
      </w:pPr>
      <w:r>
        <w:rPr>
          <w:rFonts w:ascii="Arial" w:eastAsia="Arial" w:hAnsi="Arial" w:cs="Arial"/>
          <w:b/>
          <w:bCs/>
          <w:color w:val="1B2A4A"/>
          <w:sz w:val="22"/>
          <w:szCs w:val="22"/>
        </w:rPr>
        <w:t>Data Readiness and Cleanup for Target Model</w:t>
      </w:r>
    </w:p>
    <w:p w14:paraId="42683970" w14:textId="77777777" w:rsidR="00940C7A" w:rsidRDefault="00000000">
      <w:pPr>
        <w:spacing w:before="40" w:after="40" w:line="264" w:lineRule="auto"/>
        <w:jc w:val="both"/>
      </w:pPr>
      <w:r>
        <w:rPr>
          <w:rFonts w:ascii="Calibri" w:eastAsia="Calibri" w:hAnsi="Calibri" w:cs="Calibri"/>
          <w:color w:val="333333"/>
        </w:rPr>
        <w:t>Define and execute data migration strategy from profiling through production cutover: quality assessment, cleansing rules, and mapping specifications from source systems to Transact domains (Party, Holdings, Reference). Establish data quality gates at each programme milestone. Conduct progressive migration rehearsals with quantified integrity thresholds as go/no-go criteria.</w:t>
      </w:r>
    </w:p>
    <w:p w14:paraId="33706683" w14:textId="77777777" w:rsidR="00940C7A" w:rsidRDefault="00000000">
      <w:pPr>
        <w:spacing w:before="40" w:after="80" w:line="264" w:lineRule="auto"/>
        <w:ind w:left="360"/>
        <w:jc w:val="both"/>
      </w:pPr>
      <w:r>
        <w:rPr>
          <w:rFonts w:ascii="Calibri" w:eastAsia="Calibri" w:hAnsi="Calibri" w:cs="Calibri"/>
          <w:b/>
          <w:bCs/>
          <w:i/>
          <w:iCs/>
          <w:color w:val="0C6E73"/>
        </w:rPr>
        <w:t xml:space="preserve">Value to the Bank: </w:t>
      </w:r>
      <w:r>
        <w:rPr>
          <w:rFonts w:ascii="Calibri" w:eastAsia="Calibri" w:hAnsi="Calibri" w:cs="Calibri"/>
          <w:i/>
          <w:iCs/>
          <w:color w:val="333333"/>
        </w:rPr>
        <w:t>Clean, validated data from day one—eliminating post-migration firefighting. A simplified product catalogue and chart of accounts that reduce ongoing operational complexity and support regulatory confidence.</w:t>
      </w:r>
    </w:p>
    <w:p w14:paraId="7A198DD9" w14:textId="77777777" w:rsidR="00940C7A" w:rsidRDefault="00000000">
      <w:pPr>
        <w:spacing w:before="200" w:after="60"/>
      </w:pPr>
      <w:r>
        <w:rPr>
          <w:rFonts w:ascii="Arial" w:eastAsia="Arial" w:hAnsi="Arial" w:cs="Arial"/>
          <w:b/>
          <w:bCs/>
          <w:color w:val="1B2A4A"/>
          <w:sz w:val="22"/>
          <w:szCs w:val="22"/>
        </w:rPr>
        <w:t>Testing Strategy Driven by Business Process and Outcomes</w:t>
      </w:r>
    </w:p>
    <w:p w14:paraId="4163AB01" w14:textId="77777777" w:rsidR="00940C7A" w:rsidRDefault="00000000">
      <w:pPr>
        <w:spacing w:before="40" w:after="40" w:line="264" w:lineRule="auto"/>
        <w:jc w:val="both"/>
      </w:pPr>
      <w:r>
        <w:rPr>
          <w:rFonts w:ascii="Calibri" w:eastAsia="Calibri" w:hAnsi="Calibri" w:cs="Calibri"/>
          <w:color w:val="333333"/>
        </w:rPr>
        <w:t>Define end-to-end testing across four phases: Unit, Integration, System (performance, penetration, SIT), and UAT. Test scenarios derived from business process alignment—not technical specifications alone. Establish clear entry, exit, and success criteria with measurable KPIs: defect density, detection rate, SLA compliance, pass rate, and cycle time.</w:t>
      </w:r>
    </w:p>
    <w:p w14:paraId="27A411DE" w14:textId="77777777" w:rsidR="00940C7A" w:rsidRDefault="00000000">
      <w:pPr>
        <w:spacing w:before="40" w:after="80" w:line="264" w:lineRule="auto"/>
        <w:ind w:left="360"/>
        <w:jc w:val="both"/>
      </w:pPr>
      <w:r>
        <w:rPr>
          <w:rFonts w:ascii="Calibri" w:eastAsia="Calibri" w:hAnsi="Calibri" w:cs="Calibri"/>
          <w:b/>
          <w:bCs/>
          <w:i/>
          <w:iCs/>
          <w:color w:val="0C6E73"/>
        </w:rPr>
        <w:t xml:space="preserve">Value to the Bank: </w:t>
      </w:r>
      <w:r>
        <w:rPr>
          <w:rFonts w:ascii="Calibri" w:eastAsia="Calibri" w:hAnsi="Calibri" w:cs="Calibri"/>
          <w:i/>
          <w:iCs/>
          <w:color w:val="333333"/>
        </w:rPr>
        <w:t>Go-live confidence grounded in demonstrated business process integrity. Reduced post-go-live defects through a testing framework that bridges technical teams and business stakeholders, ensuring the system works as the business expects it to work.</w:t>
      </w:r>
    </w:p>
    <w:p w14:paraId="5C4E3695" w14:textId="77777777" w:rsidR="00940C7A" w:rsidRDefault="00000000">
      <w:pPr>
        <w:spacing w:before="200" w:after="60"/>
      </w:pPr>
      <w:r>
        <w:rPr>
          <w:rFonts w:ascii="Arial" w:eastAsia="Arial" w:hAnsi="Arial" w:cs="Arial"/>
          <w:b/>
          <w:bCs/>
          <w:color w:val="1B2A4A"/>
          <w:sz w:val="22"/>
          <w:szCs w:val="22"/>
        </w:rPr>
        <w:t>Target Operating Model</w:t>
      </w:r>
    </w:p>
    <w:p w14:paraId="3F90D02A" w14:textId="77777777" w:rsidR="00940C7A" w:rsidRDefault="00000000">
      <w:pPr>
        <w:spacing w:before="40" w:after="40" w:line="264" w:lineRule="auto"/>
        <w:jc w:val="both"/>
      </w:pPr>
      <w:r>
        <w:rPr>
          <w:rFonts w:ascii="Calibri" w:eastAsia="Calibri" w:hAnsi="Calibri" w:cs="Calibri"/>
          <w:color w:val="333333"/>
        </w:rPr>
        <w:t>Define the post-transformation operating model before programme mobilisation: run-state structure, support tiers, incident and change management processes, upgrade cadence, and continuous-improvement backlog. Ensure the bank can sustain, evolve, and upgrade the Transact platform independently after go-live, preventing regression to legacy operational patterns.</w:t>
      </w:r>
    </w:p>
    <w:p w14:paraId="318EB386" w14:textId="77777777" w:rsidR="00940C7A" w:rsidRDefault="00000000">
      <w:pPr>
        <w:spacing w:before="40" w:after="80" w:line="264" w:lineRule="auto"/>
        <w:ind w:left="360"/>
        <w:jc w:val="both"/>
      </w:pPr>
      <w:r>
        <w:rPr>
          <w:rFonts w:ascii="Calibri" w:eastAsia="Calibri" w:hAnsi="Calibri" w:cs="Calibri"/>
          <w:b/>
          <w:bCs/>
          <w:i/>
          <w:iCs/>
          <w:color w:val="0C6E73"/>
        </w:rPr>
        <w:t xml:space="preserve">Value to the Bank: </w:t>
      </w:r>
      <w:r>
        <w:rPr>
          <w:rFonts w:ascii="Calibri" w:eastAsia="Calibri" w:hAnsi="Calibri" w:cs="Calibri"/>
          <w:i/>
          <w:iCs/>
          <w:color w:val="333333"/>
        </w:rPr>
        <w:t>A documented, actionable operating model that eliminates the post-go-live vacuum commonly seen in core banking programmes. The bank retains control, capability, and a clear path for continuous platform evolution.</w:t>
      </w:r>
    </w:p>
    <w:p w14:paraId="4A89F478" w14:textId="7EFEC4AB" w:rsidR="00940C7A" w:rsidRDefault="00000000">
      <w:pPr>
        <w:spacing w:before="200" w:after="60"/>
      </w:pPr>
      <w:r>
        <w:rPr>
          <w:rFonts w:ascii="Arial" w:eastAsia="Arial" w:hAnsi="Arial" w:cs="Arial"/>
          <w:b/>
          <w:bCs/>
          <w:color w:val="1B2A4A"/>
          <w:sz w:val="22"/>
          <w:szCs w:val="22"/>
        </w:rPr>
        <w:t xml:space="preserve">Fit-for-Purpose Programme </w:t>
      </w:r>
      <w:r w:rsidR="001B7F83">
        <w:rPr>
          <w:rFonts w:ascii="Arial" w:eastAsia="Arial" w:hAnsi="Arial" w:cs="Arial"/>
          <w:b/>
          <w:bCs/>
          <w:color w:val="1B2A4A"/>
          <w:sz w:val="22"/>
          <w:szCs w:val="22"/>
        </w:rPr>
        <w:t>Advisor</w:t>
      </w:r>
    </w:p>
    <w:p w14:paraId="297482CD" w14:textId="77777777" w:rsidR="00940C7A" w:rsidRDefault="00000000">
      <w:pPr>
        <w:spacing w:before="40" w:after="40" w:line="264" w:lineRule="auto"/>
        <w:jc w:val="both"/>
      </w:pPr>
      <w:r>
        <w:rPr>
          <w:rFonts w:ascii="Calibri" w:eastAsia="Calibri" w:hAnsi="Calibri" w:cs="Calibri"/>
          <w:color w:val="333333"/>
        </w:rPr>
        <w:t>Design governance that evolves with the programme lifecycle: centralised design authority during planning and architecture, federated delivery during build and test, re-centralised control during cutover and stabilisation. Structure governance tiers (steering committee, Design Authority, workstream leads), ways of working (Agile ceremonies, sprint cadences, definition of done), and embed an independent assurance function.</w:t>
      </w:r>
    </w:p>
    <w:p w14:paraId="75CAB8D4" w14:textId="77777777" w:rsidR="00940C7A" w:rsidRDefault="00000000">
      <w:pPr>
        <w:spacing w:before="40" w:after="80" w:line="264" w:lineRule="auto"/>
        <w:ind w:left="360"/>
        <w:jc w:val="both"/>
      </w:pPr>
      <w:r>
        <w:rPr>
          <w:rFonts w:ascii="Calibri" w:eastAsia="Calibri" w:hAnsi="Calibri" w:cs="Calibri"/>
          <w:b/>
          <w:bCs/>
          <w:i/>
          <w:iCs/>
          <w:color w:val="0C6E73"/>
        </w:rPr>
        <w:t xml:space="preserve">Value to the Bank: </w:t>
      </w:r>
      <w:r>
        <w:rPr>
          <w:rFonts w:ascii="Calibri" w:eastAsia="Calibri" w:hAnsi="Calibri" w:cs="Calibri"/>
          <w:i/>
          <w:iCs/>
          <w:color w:val="333333"/>
        </w:rPr>
        <w:t>A programme structure that provides control during design, speed during build, and precision during cutover—proven to reduce time-to-go-live while maintaining quality and regulatory compliance.</w:t>
      </w:r>
    </w:p>
    <w:p w14:paraId="56FF2284" w14:textId="77777777" w:rsidR="00940C7A" w:rsidRDefault="00000000">
      <w:pPr>
        <w:pBdr>
          <w:bottom w:val="single" w:sz="2" w:space="4" w:color="0C6E73"/>
        </w:pBdr>
        <w:spacing w:before="300" w:after="100"/>
      </w:pPr>
      <w:r>
        <w:rPr>
          <w:rFonts w:ascii="Arial" w:eastAsia="Arial" w:hAnsi="Arial" w:cs="Arial"/>
          <w:b/>
          <w:bCs/>
          <w:color w:val="1B2A4A"/>
          <w:spacing w:val="80"/>
          <w:sz w:val="24"/>
          <w:szCs w:val="24"/>
        </w:rPr>
        <w:lastRenderedPageBreak/>
        <w:t>METHODS, ARTEFACTS &amp; GOVERNANCE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940C7A" w14:paraId="416906F4"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100" w:type="dxa"/>
              <w:bottom w:w="50" w:type="dxa"/>
              <w:right w:w="100" w:type="dxa"/>
            </w:tcMar>
          </w:tcPr>
          <w:p w14:paraId="14DC0649" w14:textId="77777777" w:rsidR="00940C7A" w:rsidRDefault="00000000">
            <w:r>
              <w:rPr>
                <w:rFonts w:ascii="Arial" w:eastAsia="Arial" w:hAnsi="Arial" w:cs="Arial"/>
                <w:b/>
                <w:bCs/>
                <w:color w:val="FFFFFF"/>
                <w:sz w:val="18"/>
                <w:szCs w:val="18"/>
              </w:rPr>
              <w:t>Artefact / Method</w:t>
            </w:r>
          </w:p>
        </w:tc>
        <w:tc>
          <w:tcPr>
            <w:tcW w:w="5826" w:type="dxa"/>
            <w:tcBorders>
              <w:top w:val="single" w:sz="1" w:space="0" w:color="CCCCCC"/>
              <w:left w:val="single" w:sz="1" w:space="0" w:color="CCCCCC"/>
              <w:bottom w:val="single" w:sz="1" w:space="0" w:color="CCCCCC"/>
              <w:right w:val="single" w:sz="1" w:space="0" w:color="CCCCCC"/>
            </w:tcBorders>
            <w:shd w:val="clear" w:color="auto" w:fill="1B2A4A"/>
            <w:tcMar>
              <w:top w:w="50" w:type="dxa"/>
              <w:left w:w="100" w:type="dxa"/>
              <w:bottom w:w="50" w:type="dxa"/>
              <w:right w:w="100" w:type="dxa"/>
            </w:tcMar>
          </w:tcPr>
          <w:p w14:paraId="57E9DA50" w14:textId="14A52EAF" w:rsidR="00940C7A" w:rsidRDefault="00000000">
            <w:r>
              <w:rPr>
                <w:rFonts w:ascii="Arial" w:eastAsia="Arial" w:hAnsi="Arial" w:cs="Arial"/>
                <w:b/>
                <w:bCs/>
                <w:color w:val="FFFFFF"/>
                <w:sz w:val="18"/>
                <w:szCs w:val="18"/>
              </w:rPr>
              <w:t>What I</w:t>
            </w:r>
            <w:r w:rsidR="001D228F">
              <w:rPr>
                <w:rFonts w:ascii="Arial" w:eastAsia="Arial" w:hAnsi="Arial" w:cs="Arial"/>
                <w:b/>
                <w:bCs/>
                <w:color w:val="FFFFFF"/>
                <w:sz w:val="18"/>
                <w:szCs w:val="18"/>
              </w:rPr>
              <w:t xml:space="preserve"> Can </w:t>
            </w:r>
            <w:r>
              <w:rPr>
                <w:rFonts w:ascii="Arial" w:eastAsia="Arial" w:hAnsi="Arial" w:cs="Arial"/>
                <w:b/>
                <w:bCs/>
                <w:color w:val="FFFFFF"/>
                <w:sz w:val="18"/>
                <w:szCs w:val="18"/>
              </w:rPr>
              <w:t xml:space="preserve"> Deliver</w:t>
            </w:r>
          </w:p>
        </w:tc>
      </w:tr>
      <w:tr w:rsidR="00940C7A" w14:paraId="00D3BAE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AFA"/>
            <w:tcMar>
              <w:top w:w="40" w:type="dxa"/>
              <w:left w:w="100" w:type="dxa"/>
              <w:bottom w:w="40" w:type="dxa"/>
              <w:right w:w="100" w:type="dxa"/>
            </w:tcMar>
          </w:tcPr>
          <w:p w14:paraId="753C9AF3" w14:textId="77777777" w:rsidR="00940C7A" w:rsidRDefault="00000000">
            <w:pPr>
              <w:spacing w:before="10" w:after="10" w:line="252" w:lineRule="auto"/>
            </w:pPr>
            <w:r>
              <w:rPr>
                <w:rFonts w:ascii="Calibri" w:eastAsia="Calibri" w:hAnsi="Calibri" w:cs="Calibri"/>
                <w:b/>
                <w:bCs/>
                <w:color w:val="333333"/>
                <w:sz w:val="18"/>
                <w:szCs w:val="18"/>
              </w:rPr>
              <w:t>Architecture Decision Records</w:t>
            </w:r>
          </w:p>
        </w:tc>
        <w:tc>
          <w:tcPr>
            <w:tcW w:w="5826" w:type="dxa"/>
            <w:tcBorders>
              <w:top w:val="single" w:sz="1" w:space="0" w:color="CCCCCC"/>
              <w:left w:val="single" w:sz="1" w:space="0" w:color="CCCCCC"/>
              <w:bottom w:val="single" w:sz="1" w:space="0" w:color="CCCCCC"/>
              <w:right w:val="single" w:sz="1" w:space="0" w:color="CCCCCC"/>
            </w:tcBorders>
            <w:shd w:val="clear" w:color="auto" w:fill="F7FAFA"/>
            <w:tcMar>
              <w:top w:w="40" w:type="dxa"/>
              <w:left w:w="100" w:type="dxa"/>
              <w:bottom w:w="40" w:type="dxa"/>
              <w:right w:w="100" w:type="dxa"/>
            </w:tcMar>
          </w:tcPr>
          <w:p w14:paraId="31115417" w14:textId="77777777" w:rsidR="00940C7A" w:rsidRDefault="00000000">
            <w:pPr>
              <w:spacing w:before="10" w:after="10" w:line="252" w:lineRule="auto"/>
              <w:jc w:val="both"/>
            </w:pPr>
            <w:r>
              <w:rPr>
                <w:rFonts w:ascii="Calibri" w:eastAsia="Calibri" w:hAnsi="Calibri" w:cs="Calibri"/>
                <w:color w:val="333333"/>
                <w:sz w:val="18"/>
                <w:szCs w:val="18"/>
              </w:rPr>
              <w:t>Immutable log of every design choice with rationale, options rejected, and full traceability to requirements.</w:t>
            </w:r>
          </w:p>
        </w:tc>
      </w:tr>
      <w:tr w:rsidR="00940C7A" w14:paraId="1D846E7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55B68490" w14:textId="77777777" w:rsidR="00940C7A" w:rsidRDefault="00000000">
            <w:pPr>
              <w:spacing w:before="10" w:after="10" w:line="252" w:lineRule="auto"/>
            </w:pPr>
            <w:r>
              <w:rPr>
                <w:rFonts w:ascii="Calibri" w:eastAsia="Calibri" w:hAnsi="Calibri" w:cs="Calibri"/>
                <w:b/>
                <w:bCs/>
                <w:color w:val="333333"/>
                <w:sz w:val="18"/>
                <w:szCs w:val="18"/>
              </w:rPr>
              <w:t>Target-State Reference Architecture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5608752F" w14:textId="77777777" w:rsidR="00940C7A" w:rsidRDefault="00000000">
            <w:pPr>
              <w:spacing w:before="10" w:after="10" w:line="252" w:lineRule="auto"/>
              <w:jc w:val="both"/>
            </w:pPr>
            <w:r>
              <w:rPr>
                <w:rFonts w:ascii="Calibri" w:eastAsia="Calibri" w:hAnsi="Calibri" w:cs="Calibri"/>
                <w:color w:val="333333"/>
                <w:sz w:val="18"/>
                <w:szCs w:val="18"/>
              </w:rPr>
              <w:t>Blueprint mapping business capabilities to Transact packaged business capabilities, APIs, event channels, and infrastructure stacks.</w:t>
            </w:r>
          </w:p>
        </w:tc>
      </w:tr>
      <w:tr w:rsidR="00940C7A" w14:paraId="493BC0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AFA"/>
            <w:tcMar>
              <w:top w:w="40" w:type="dxa"/>
              <w:left w:w="100" w:type="dxa"/>
              <w:bottom w:w="40" w:type="dxa"/>
              <w:right w:w="100" w:type="dxa"/>
            </w:tcMar>
          </w:tcPr>
          <w:p w14:paraId="7C8E44EF" w14:textId="77777777" w:rsidR="00940C7A" w:rsidRDefault="00000000">
            <w:pPr>
              <w:spacing w:before="10" w:after="10" w:line="252" w:lineRule="auto"/>
            </w:pPr>
            <w:r>
              <w:rPr>
                <w:rFonts w:ascii="Calibri" w:eastAsia="Calibri" w:hAnsi="Calibri" w:cs="Calibri"/>
                <w:b/>
                <w:bCs/>
                <w:color w:val="333333"/>
                <w:sz w:val="18"/>
                <w:szCs w:val="18"/>
              </w:rPr>
              <w:t>Fit-Gap Register &amp; Customisation Budget</w:t>
            </w:r>
          </w:p>
        </w:tc>
        <w:tc>
          <w:tcPr>
            <w:tcW w:w="5826" w:type="dxa"/>
            <w:tcBorders>
              <w:top w:val="single" w:sz="1" w:space="0" w:color="CCCCCC"/>
              <w:left w:val="single" w:sz="1" w:space="0" w:color="CCCCCC"/>
              <w:bottom w:val="single" w:sz="1" w:space="0" w:color="CCCCCC"/>
              <w:right w:val="single" w:sz="1" w:space="0" w:color="CCCCCC"/>
            </w:tcBorders>
            <w:shd w:val="clear" w:color="auto" w:fill="F7FAFA"/>
            <w:tcMar>
              <w:top w:w="40" w:type="dxa"/>
              <w:left w:w="100" w:type="dxa"/>
              <w:bottom w:w="40" w:type="dxa"/>
              <w:right w:w="100" w:type="dxa"/>
            </w:tcMar>
          </w:tcPr>
          <w:p w14:paraId="78F77B22" w14:textId="77777777" w:rsidR="00940C7A" w:rsidRDefault="00000000">
            <w:pPr>
              <w:spacing w:before="10" w:after="10" w:line="252" w:lineRule="auto"/>
              <w:jc w:val="both"/>
            </w:pPr>
            <w:r>
              <w:rPr>
                <w:rFonts w:ascii="Calibri" w:eastAsia="Calibri" w:hAnsi="Calibri" w:cs="Calibri"/>
                <w:color w:val="333333"/>
                <w:sz w:val="18"/>
                <w:szCs w:val="18"/>
              </w:rPr>
              <w:t>Living register scoring every customisation request, enforcing a hard ceiling on bespoke development.</w:t>
            </w:r>
          </w:p>
        </w:tc>
      </w:tr>
      <w:tr w:rsidR="00940C7A" w14:paraId="4BF167C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144F70C0" w14:textId="77777777" w:rsidR="00940C7A" w:rsidRDefault="00000000">
            <w:pPr>
              <w:spacing w:before="10" w:after="10" w:line="252" w:lineRule="auto"/>
            </w:pPr>
            <w:r>
              <w:rPr>
                <w:rFonts w:ascii="Calibri" w:eastAsia="Calibri" w:hAnsi="Calibri" w:cs="Calibri"/>
                <w:b/>
                <w:bCs/>
                <w:color w:val="333333"/>
                <w:sz w:val="18"/>
                <w:szCs w:val="18"/>
              </w:rPr>
              <w:t>Integration Dependency Map</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46A53BBC" w14:textId="77777777" w:rsidR="00940C7A" w:rsidRDefault="00000000">
            <w:pPr>
              <w:spacing w:before="10" w:after="10" w:line="252" w:lineRule="auto"/>
              <w:jc w:val="both"/>
            </w:pPr>
            <w:r>
              <w:rPr>
                <w:rFonts w:ascii="Calibri" w:eastAsia="Calibri" w:hAnsi="Calibri" w:cs="Calibri"/>
                <w:color w:val="333333"/>
                <w:sz w:val="18"/>
                <w:szCs w:val="18"/>
              </w:rPr>
              <w:t>Directed graph of all system-to-system touchpoints with protocol, SLA, and owner metadata.</w:t>
            </w:r>
          </w:p>
        </w:tc>
      </w:tr>
      <w:tr w:rsidR="00940C7A" w14:paraId="5A31193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AFA"/>
            <w:tcMar>
              <w:top w:w="40" w:type="dxa"/>
              <w:left w:w="100" w:type="dxa"/>
              <w:bottom w:w="40" w:type="dxa"/>
              <w:right w:w="100" w:type="dxa"/>
            </w:tcMar>
          </w:tcPr>
          <w:p w14:paraId="0727E869" w14:textId="77777777" w:rsidR="00940C7A" w:rsidRDefault="00000000">
            <w:pPr>
              <w:spacing w:before="10" w:after="10" w:line="252" w:lineRule="auto"/>
            </w:pPr>
            <w:r>
              <w:rPr>
                <w:rFonts w:ascii="Calibri" w:eastAsia="Calibri" w:hAnsi="Calibri" w:cs="Calibri"/>
                <w:b/>
                <w:bCs/>
                <w:color w:val="333333"/>
                <w:sz w:val="18"/>
                <w:szCs w:val="18"/>
              </w:rPr>
              <w:t>Data Quality Scorecard</w:t>
            </w:r>
          </w:p>
        </w:tc>
        <w:tc>
          <w:tcPr>
            <w:tcW w:w="5826" w:type="dxa"/>
            <w:tcBorders>
              <w:top w:val="single" w:sz="1" w:space="0" w:color="CCCCCC"/>
              <w:left w:val="single" w:sz="1" w:space="0" w:color="CCCCCC"/>
              <w:bottom w:val="single" w:sz="1" w:space="0" w:color="CCCCCC"/>
              <w:right w:val="single" w:sz="1" w:space="0" w:color="CCCCCC"/>
            </w:tcBorders>
            <w:shd w:val="clear" w:color="auto" w:fill="F7FAFA"/>
            <w:tcMar>
              <w:top w:w="40" w:type="dxa"/>
              <w:left w:w="100" w:type="dxa"/>
              <w:bottom w:w="40" w:type="dxa"/>
              <w:right w:w="100" w:type="dxa"/>
            </w:tcMar>
          </w:tcPr>
          <w:p w14:paraId="210BBBD2" w14:textId="77777777" w:rsidR="00940C7A" w:rsidRDefault="00000000">
            <w:pPr>
              <w:spacing w:before="10" w:after="10" w:line="252" w:lineRule="auto"/>
              <w:jc w:val="both"/>
            </w:pPr>
            <w:r>
              <w:rPr>
                <w:rFonts w:ascii="Calibri" w:eastAsia="Calibri" w:hAnsi="Calibri" w:cs="Calibri"/>
                <w:color w:val="333333"/>
                <w:sz w:val="18"/>
                <w:szCs w:val="18"/>
              </w:rPr>
              <w:t>Domain-by-domain quality metrics with gating thresholds per migration rehearsal.</w:t>
            </w:r>
          </w:p>
        </w:tc>
      </w:tr>
      <w:tr w:rsidR="00940C7A" w14:paraId="70554D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28A04598" w14:textId="77777777" w:rsidR="00940C7A" w:rsidRDefault="00000000">
            <w:pPr>
              <w:spacing w:before="10" w:after="10" w:line="252" w:lineRule="auto"/>
            </w:pPr>
            <w:r>
              <w:rPr>
                <w:rFonts w:ascii="Calibri" w:eastAsia="Calibri" w:hAnsi="Calibri" w:cs="Calibri"/>
                <w:b/>
                <w:bCs/>
                <w:color w:val="333333"/>
                <w:sz w:val="18"/>
                <w:szCs w:val="18"/>
              </w:rPr>
              <w:t>Test Strategy &amp; KPI Dashboard</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279A9510" w14:textId="77777777" w:rsidR="00940C7A" w:rsidRDefault="00000000">
            <w:pPr>
              <w:spacing w:before="10" w:after="10" w:line="252" w:lineRule="auto"/>
              <w:jc w:val="both"/>
            </w:pPr>
            <w:r>
              <w:rPr>
                <w:rFonts w:ascii="Calibri" w:eastAsia="Calibri" w:hAnsi="Calibri" w:cs="Calibri"/>
                <w:color w:val="333333"/>
                <w:sz w:val="18"/>
                <w:szCs w:val="18"/>
              </w:rPr>
              <w:t>Four-phase test framework with live defect density, pass rate, and cycle-time KPIs.</w:t>
            </w:r>
          </w:p>
        </w:tc>
      </w:tr>
      <w:tr w:rsidR="00940C7A" w14:paraId="5F83E1E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AFA"/>
            <w:tcMar>
              <w:top w:w="40" w:type="dxa"/>
              <w:left w:w="100" w:type="dxa"/>
              <w:bottom w:w="40" w:type="dxa"/>
              <w:right w:w="100" w:type="dxa"/>
            </w:tcMar>
          </w:tcPr>
          <w:p w14:paraId="137E59F8" w14:textId="77777777" w:rsidR="00940C7A" w:rsidRDefault="00000000">
            <w:pPr>
              <w:spacing w:before="10" w:after="10" w:line="252" w:lineRule="auto"/>
            </w:pPr>
            <w:r>
              <w:rPr>
                <w:rFonts w:ascii="Calibri" w:eastAsia="Calibri" w:hAnsi="Calibri" w:cs="Calibri"/>
                <w:b/>
                <w:bCs/>
                <w:color w:val="333333"/>
                <w:sz w:val="18"/>
                <w:szCs w:val="18"/>
              </w:rPr>
              <w:t>Cutover Runbook &amp; Rehearsal Log</w:t>
            </w:r>
          </w:p>
        </w:tc>
        <w:tc>
          <w:tcPr>
            <w:tcW w:w="5826" w:type="dxa"/>
            <w:tcBorders>
              <w:top w:val="single" w:sz="1" w:space="0" w:color="CCCCCC"/>
              <w:left w:val="single" w:sz="1" w:space="0" w:color="CCCCCC"/>
              <w:bottom w:val="single" w:sz="1" w:space="0" w:color="CCCCCC"/>
              <w:right w:val="single" w:sz="1" w:space="0" w:color="CCCCCC"/>
            </w:tcBorders>
            <w:shd w:val="clear" w:color="auto" w:fill="F7FAFA"/>
            <w:tcMar>
              <w:top w:w="40" w:type="dxa"/>
              <w:left w:w="100" w:type="dxa"/>
              <w:bottom w:w="40" w:type="dxa"/>
              <w:right w:w="100" w:type="dxa"/>
            </w:tcMar>
          </w:tcPr>
          <w:p w14:paraId="714E2F92" w14:textId="77777777" w:rsidR="00940C7A" w:rsidRDefault="00000000">
            <w:pPr>
              <w:spacing w:before="10" w:after="10" w:line="252" w:lineRule="auto"/>
              <w:jc w:val="both"/>
            </w:pPr>
            <w:r>
              <w:rPr>
                <w:rFonts w:ascii="Calibri" w:eastAsia="Calibri" w:hAnsi="Calibri" w:cs="Calibri"/>
                <w:color w:val="333333"/>
                <w:sz w:val="18"/>
                <w:szCs w:val="18"/>
              </w:rPr>
              <w:t>Minute-by-minute cutover script with rollback triggers, progressively tightened across dry-run cycles.</w:t>
            </w:r>
          </w:p>
        </w:tc>
      </w:tr>
      <w:tr w:rsidR="00940C7A" w14:paraId="362F82E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617D8007" w14:textId="77777777" w:rsidR="00940C7A" w:rsidRDefault="00000000">
            <w:pPr>
              <w:spacing w:before="10" w:after="10" w:line="252" w:lineRule="auto"/>
            </w:pPr>
            <w:r>
              <w:rPr>
                <w:rFonts w:ascii="Calibri" w:eastAsia="Calibri" w:hAnsi="Calibri" w:cs="Calibri"/>
                <w:b/>
                <w:bCs/>
                <w:color w:val="333333"/>
                <w:sz w:val="18"/>
                <w:szCs w:val="18"/>
              </w:rPr>
              <w:t>Post-Go-Live Operating Model Blueprint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26A58016" w14:textId="77777777" w:rsidR="00940C7A" w:rsidRDefault="00000000">
            <w:pPr>
              <w:spacing w:before="10" w:after="10" w:line="252" w:lineRule="auto"/>
              <w:jc w:val="both"/>
            </w:pPr>
            <w:r>
              <w:rPr>
                <w:rFonts w:ascii="Calibri" w:eastAsia="Calibri" w:hAnsi="Calibri" w:cs="Calibri"/>
                <w:color w:val="333333"/>
                <w:sz w:val="18"/>
                <w:szCs w:val="18"/>
              </w:rPr>
              <w:t>Run-state model: support tiers, incident and change management, upgrade cadence, continuous-improvement backlog.</w:t>
            </w:r>
          </w:p>
        </w:tc>
      </w:tr>
    </w:tbl>
    <w:p w14:paraId="57BE2A51" w14:textId="77777777" w:rsidR="00940C7A" w:rsidRDefault="00000000">
      <w:pPr>
        <w:pBdr>
          <w:bottom w:val="single" w:sz="2" w:space="4" w:color="0C6E73"/>
        </w:pBdr>
        <w:spacing w:before="300" w:after="100"/>
      </w:pPr>
      <w:r>
        <w:rPr>
          <w:rFonts w:ascii="Arial" w:eastAsia="Arial" w:hAnsi="Arial" w:cs="Arial"/>
          <w:b/>
          <w:bCs/>
          <w:color w:val="1B2A4A"/>
          <w:spacing w:val="80"/>
          <w:sz w:val="24"/>
          <w:szCs w:val="24"/>
        </w:rPr>
        <w:t>PROFESSIONAL VALUE TO THE BANK</w:t>
      </w:r>
    </w:p>
    <w:p w14:paraId="356A4110" w14:textId="3CD9A31C" w:rsidR="00940C7A" w:rsidRDefault="00000000">
      <w:pPr>
        <w:spacing w:before="30" w:after="30" w:line="264" w:lineRule="auto"/>
        <w:ind w:left="360" w:hanging="180"/>
      </w:pPr>
      <w:r>
        <w:rPr>
          <w:rFonts w:ascii="Calibri" w:eastAsia="Calibri" w:hAnsi="Calibri" w:cs="Calibri"/>
          <w:b/>
          <w:bCs/>
          <w:color w:val="0C6E73"/>
        </w:rPr>
        <w:t xml:space="preserve">•  </w:t>
      </w:r>
      <w:r>
        <w:rPr>
          <w:rFonts w:ascii="Calibri" w:eastAsia="Calibri" w:hAnsi="Calibri" w:cs="Calibri"/>
          <w:b/>
          <w:bCs/>
          <w:color w:val="333333"/>
        </w:rPr>
        <w:t>Single Accountable Architect:</w:t>
      </w:r>
      <w:r>
        <w:rPr>
          <w:rFonts w:ascii="Calibri" w:eastAsia="Calibri" w:hAnsi="Calibri" w:cs="Calibri"/>
          <w:color w:val="333333"/>
        </w:rPr>
        <w:t xml:space="preserve"> Bridging Temenos platform capabilities with the bank’s business strategy, eliminating the gap that stalls most </w:t>
      </w:r>
      <w:r w:rsidR="001B7F83">
        <w:rPr>
          <w:rFonts w:ascii="Calibri" w:eastAsia="Calibri" w:hAnsi="Calibri" w:cs="Calibri"/>
          <w:color w:val="333333"/>
        </w:rPr>
        <w:t>reimplementation</w:t>
      </w:r>
      <w:r>
        <w:rPr>
          <w:rFonts w:ascii="Calibri" w:eastAsia="Calibri" w:hAnsi="Calibri" w:cs="Calibri"/>
          <w:color w:val="333333"/>
        </w:rPr>
        <w:t>.</w:t>
      </w:r>
    </w:p>
    <w:p w14:paraId="484EE245" w14:textId="77777777" w:rsidR="00940C7A" w:rsidRDefault="00000000">
      <w:pPr>
        <w:spacing w:before="30" w:after="30" w:line="264" w:lineRule="auto"/>
        <w:ind w:left="360" w:hanging="180"/>
      </w:pPr>
      <w:r>
        <w:rPr>
          <w:rFonts w:ascii="Calibri" w:eastAsia="Calibri" w:hAnsi="Calibri" w:cs="Calibri"/>
          <w:b/>
          <w:bCs/>
          <w:color w:val="0C6E73"/>
        </w:rPr>
        <w:t xml:space="preserve">•  </w:t>
      </w:r>
      <w:r>
        <w:rPr>
          <w:rFonts w:ascii="Calibri" w:eastAsia="Calibri" w:hAnsi="Calibri" w:cs="Calibri"/>
          <w:b/>
          <w:bCs/>
          <w:color w:val="333333"/>
        </w:rPr>
        <w:t>Design Authority Discipline:</w:t>
      </w:r>
      <w:r>
        <w:rPr>
          <w:rFonts w:ascii="Calibri" w:eastAsia="Calibri" w:hAnsi="Calibri" w:cs="Calibri"/>
          <w:color w:val="333333"/>
        </w:rPr>
        <w:t xml:space="preserve"> Every customisation justified, every integration mapped, every decision recorded and traceable from requirement to implementation.</w:t>
      </w:r>
    </w:p>
    <w:p w14:paraId="154B5AA5" w14:textId="77777777" w:rsidR="00940C7A" w:rsidRDefault="00000000">
      <w:pPr>
        <w:spacing w:before="30" w:after="30" w:line="264" w:lineRule="auto"/>
        <w:ind w:left="360" w:hanging="180"/>
      </w:pPr>
      <w:r>
        <w:rPr>
          <w:rFonts w:ascii="Calibri" w:eastAsia="Calibri" w:hAnsi="Calibri" w:cs="Calibri"/>
          <w:b/>
          <w:bCs/>
          <w:color w:val="0C6E73"/>
        </w:rPr>
        <w:t xml:space="preserve">•  </w:t>
      </w:r>
      <w:r>
        <w:rPr>
          <w:rFonts w:ascii="Calibri" w:eastAsia="Calibri" w:hAnsi="Calibri" w:cs="Calibri"/>
          <w:b/>
          <w:bCs/>
          <w:color w:val="333333"/>
        </w:rPr>
        <w:t>Data Migration Rigour:</w:t>
      </w:r>
      <w:r>
        <w:rPr>
          <w:rFonts w:ascii="Calibri" w:eastAsia="Calibri" w:hAnsi="Calibri" w:cs="Calibri"/>
          <w:color w:val="333333"/>
        </w:rPr>
        <w:t xml:space="preserve"> Data quality governed by gates from day one, not remediated after go-live. Progressive rehearsals with quantified thresholds ensure production-ready data at cutover.</w:t>
      </w:r>
    </w:p>
    <w:p w14:paraId="06E11CCC" w14:textId="77777777" w:rsidR="00940C7A" w:rsidRDefault="00000000">
      <w:pPr>
        <w:spacing w:before="30" w:after="30" w:line="264" w:lineRule="auto"/>
        <w:ind w:left="360" w:hanging="180"/>
      </w:pPr>
      <w:r>
        <w:rPr>
          <w:rFonts w:ascii="Calibri" w:eastAsia="Calibri" w:hAnsi="Calibri" w:cs="Calibri"/>
          <w:b/>
          <w:bCs/>
          <w:color w:val="0C6E73"/>
        </w:rPr>
        <w:t xml:space="preserve">•  </w:t>
      </w:r>
      <w:r>
        <w:rPr>
          <w:rFonts w:ascii="Calibri" w:eastAsia="Calibri" w:hAnsi="Calibri" w:cs="Calibri"/>
          <w:b/>
          <w:bCs/>
          <w:color w:val="333333"/>
        </w:rPr>
        <w:t>Adaptive Governance:</w:t>
      </w:r>
      <w:r>
        <w:rPr>
          <w:rFonts w:ascii="Calibri" w:eastAsia="Calibri" w:hAnsi="Calibri" w:cs="Calibri"/>
          <w:color w:val="333333"/>
        </w:rPr>
        <w:t xml:space="preserve"> Programme structure that evolves with the lifecycle—centralised during design, federated during build, re-centralised for cutover—proven to reduce time-to-go-live while maintaining rigour.</w:t>
      </w:r>
    </w:p>
    <w:p w14:paraId="051A8213" w14:textId="77777777" w:rsidR="00940C7A" w:rsidRDefault="00000000">
      <w:pPr>
        <w:spacing w:before="30" w:after="30" w:line="264" w:lineRule="auto"/>
        <w:ind w:left="360" w:hanging="180"/>
      </w:pPr>
      <w:r>
        <w:rPr>
          <w:rFonts w:ascii="Calibri" w:eastAsia="Calibri" w:hAnsi="Calibri" w:cs="Calibri"/>
          <w:b/>
          <w:bCs/>
          <w:color w:val="0C6E73"/>
        </w:rPr>
        <w:t xml:space="preserve">•  </w:t>
      </w:r>
      <w:r>
        <w:rPr>
          <w:rFonts w:ascii="Calibri" w:eastAsia="Calibri" w:hAnsi="Calibri" w:cs="Calibri"/>
          <w:b/>
          <w:bCs/>
          <w:color w:val="333333"/>
        </w:rPr>
        <w:t>Operating Model From Day One:</w:t>
      </w:r>
      <w:r>
        <w:rPr>
          <w:rFonts w:ascii="Calibri" w:eastAsia="Calibri" w:hAnsi="Calibri" w:cs="Calibri"/>
          <w:color w:val="333333"/>
        </w:rPr>
        <w:t xml:space="preserve"> Post-go-live operating model defined before mobilisation, ensuring the bank runs the new platform independently and upgrades continuously.</w:t>
      </w:r>
    </w:p>
    <w:p w14:paraId="64FCBCB6" w14:textId="77777777" w:rsidR="00940C7A" w:rsidRDefault="00000000">
      <w:pPr>
        <w:spacing w:before="30" w:after="30" w:line="264" w:lineRule="auto"/>
        <w:ind w:left="360" w:hanging="180"/>
      </w:pPr>
      <w:r>
        <w:rPr>
          <w:rFonts w:ascii="Calibri" w:eastAsia="Calibri" w:hAnsi="Calibri" w:cs="Calibri"/>
          <w:b/>
          <w:bCs/>
          <w:color w:val="0C6E73"/>
        </w:rPr>
        <w:t xml:space="preserve">•  </w:t>
      </w:r>
      <w:r>
        <w:rPr>
          <w:rFonts w:ascii="Calibri" w:eastAsia="Calibri" w:hAnsi="Calibri" w:cs="Calibri"/>
          <w:b/>
          <w:bCs/>
          <w:color w:val="333333"/>
        </w:rPr>
        <w:t>End-to-End Integration Ownership:</w:t>
      </w:r>
      <w:r>
        <w:rPr>
          <w:rFonts w:ascii="Calibri" w:eastAsia="Calibri" w:hAnsi="Calibri" w:cs="Calibri"/>
          <w:color w:val="333333"/>
        </w:rPr>
        <w:t xml:space="preserve"> Scalable, loosely coupled integration architecture replacing fragile point-to-point connections, enabling independent service upgrades and long-term platform resilience.</w:t>
      </w:r>
    </w:p>
    <w:p w14:paraId="0489A73A" w14:textId="77777777" w:rsidR="001D228F" w:rsidRDefault="001D228F" w:rsidP="001D228F">
      <w:pPr>
        <w:pBdr>
          <w:bottom w:val="single" w:sz="2" w:space="4" w:color="0C6E73"/>
        </w:pBdr>
        <w:spacing w:before="300" w:after="100"/>
      </w:pPr>
      <w:r>
        <w:rPr>
          <w:rFonts w:ascii="Arial" w:eastAsia="Arial" w:hAnsi="Arial" w:cs="Arial"/>
          <w:b/>
          <w:bCs/>
          <w:color w:val="1B2A4A"/>
          <w:spacing w:val="80"/>
          <w:sz w:val="24"/>
          <w:szCs w:val="24"/>
        </w:rPr>
        <w:t>SELECTED LEADERSHIP STRENGTHS</w:t>
      </w:r>
    </w:p>
    <w:p w14:paraId="656C5E91" w14:textId="77777777" w:rsidR="001D228F" w:rsidRDefault="001D228F" w:rsidP="001D228F">
      <w:pPr>
        <w:spacing w:before="30" w:after="30" w:line="264" w:lineRule="auto"/>
        <w:ind w:left="360" w:hanging="180"/>
      </w:pPr>
      <w:r>
        <w:rPr>
          <w:rFonts w:ascii="Calibri" w:eastAsia="Calibri" w:hAnsi="Calibri" w:cs="Calibri"/>
          <w:b/>
          <w:bCs/>
          <w:color w:val="0C6E73"/>
        </w:rPr>
        <w:t xml:space="preserve">•  </w:t>
      </w:r>
      <w:r>
        <w:rPr>
          <w:rFonts w:ascii="Calibri" w:eastAsia="Calibri" w:hAnsi="Calibri" w:cs="Calibri"/>
          <w:b/>
          <w:bCs/>
          <w:color w:val="333333"/>
        </w:rPr>
        <w:t>Quality Engineering &amp; Traceability:</w:t>
      </w:r>
      <w:r>
        <w:rPr>
          <w:rFonts w:ascii="Calibri" w:eastAsia="Calibri" w:hAnsi="Calibri" w:cs="Calibri"/>
          <w:color w:val="333333"/>
        </w:rPr>
        <w:t xml:space="preserve"> End-to-end quality assurance discipline from requirements definition through production validation, demonstrating the analytical rigour and testability focus essential for banking data model alignment and data migration governance.</w:t>
      </w:r>
    </w:p>
    <w:p w14:paraId="0974D80A" w14:textId="77777777" w:rsidR="001D228F" w:rsidRDefault="001D228F" w:rsidP="001D228F">
      <w:pPr>
        <w:spacing w:before="30" w:after="30" w:line="264" w:lineRule="auto"/>
        <w:ind w:left="360" w:hanging="180"/>
      </w:pPr>
      <w:r>
        <w:rPr>
          <w:rFonts w:ascii="Calibri" w:eastAsia="Calibri" w:hAnsi="Calibri" w:cs="Calibri"/>
          <w:b/>
          <w:bCs/>
          <w:color w:val="0C6E73"/>
        </w:rPr>
        <w:t xml:space="preserve">•  </w:t>
      </w:r>
      <w:r>
        <w:rPr>
          <w:rFonts w:ascii="Calibri" w:eastAsia="Calibri" w:hAnsi="Calibri" w:cs="Calibri"/>
          <w:b/>
          <w:bCs/>
          <w:color w:val="333333"/>
        </w:rPr>
        <w:t>Stakeholder Orchestration:</w:t>
      </w:r>
      <w:r>
        <w:rPr>
          <w:rFonts w:ascii="Calibri" w:eastAsia="Calibri" w:hAnsi="Calibri" w:cs="Calibri"/>
          <w:color w:val="333333"/>
        </w:rPr>
        <w:t xml:space="preserve"> Bridging business units, technology teams, vendors, and executive sponsors in complex matrix environments. Track record of aligning diverse stakeholder groups around shared programme objectives.</w:t>
      </w:r>
    </w:p>
    <w:p w14:paraId="6290B8AB" w14:textId="77777777" w:rsidR="001D228F" w:rsidRDefault="001D228F" w:rsidP="001D228F">
      <w:pPr>
        <w:spacing w:before="30" w:after="30" w:line="264" w:lineRule="auto"/>
        <w:ind w:left="360" w:hanging="180"/>
      </w:pPr>
      <w:r>
        <w:rPr>
          <w:rFonts w:ascii="Calibri" w:eastAsia="Calibri" w:hAnsi="Calibri" w:cs="Calibri"/>
          <w:b/>
          <w:bCs/>
          <w:color w:val="0C6E73"/>
        </w:rPr>
        <w:t xml:space="preserve">•  </w:t>
      </w:r>
      <w:r>
        <w:rPr>
          <w:rFonts w:ascii="Calibri" w:eastAsia="Calibri" w:hAnsi="Calibri" w:cs="Calibri"/>
          <w:b/>
          <w:bCs/>
          <w:color w:val="333333"/>
        </w:rPr>
        <w:t>Integration &amp; API Design:</w:t>
      </w:r>
      <w:r>
        <w:rPr>
          <w:rFonts w:ascii="Calibri" w:eastAsia="Calibri" w:hAnsi="Calibri" w:cs="Calibri"/>
          <w:color w:val="333333"/>
        </w:rPr>
        <w:t xml:space="preserve"> Deep expertise in RESTful and event-driven integration patterns directly applicable to the Transact API ecosystem (Holdings, Party, Order, System). Experienced in complex data flows requiring careful sequencing, error handling, and observability.</w:t>
      </w:r>
    </w:p>
    <w:p w14:paraId="65096B6F" w14:textId="77777777" w:rsidR="001D228F" w:rsidRDefault="001D228F" w:rsidP="001D228F">
      <w:pPr>
        <w:spacing w:before="30" w:after="30" w:line="264" w:lineRule="auto"/>
        <w:ind w:left="360" w:hanging="180"/>
      </w:pPr>
      <w:r>
        <w:rPr>
          <w:rFonts w:ascii="Calibri" w:eastAsia="Calibri" w:hAnsi="Calibri" w:cs="Calibri"/>
          <w:b/>
          <w:bCs/>
          <w:color w:val="0C6E73"/>
        </w:rPr>
        <w:t xml:space="preserve">•  </w:t>
      </w:r>
      <w:r>
        <w:rPr>
          <w:rFonts w:ascii="Calibri" w:eastAsia="Calibri" w:hAnsi="Calibri" w:cs="Calibri"/>
          <w:b/>
          <w:bCs/>
          <w:color w:val="333333"/>
        </w:rPr>
        <w:t>Documentation &amp; Governance:</w:t>
      </w:r>
      <w:r>
        <w:rPr>
          <w:rFonts w:ascii="Calibri" w:eastAsia="Calibri" w:hAnsi="Calibri" w:cs="Calibri"/>
          <w:color w:val="333333"/>
        </w:rPr>
        <w:t xml:space="preserve"> Architecture decision records, fit-gap registers, traceability matrices, and programme-level artefact governance ensuring every decision is recorded, justified, and auditable.</w:t>
      </w:r>
    </w:p>
    <w:p w14:paraId="356B7012" w14:textId="77777777" w:rsidR="001D228F" w:rsidRDefault="001D228F" w:rsidP="001D228F">
      <w:pPr>
        <w:spacing w:before="30" w:after="30" w:line="264" w:lineRule="auto"/>
        <w:ind w:left="360" w:hanging="180"/>
      </w:pPr>
      <w:r>
        <w:rPr>
          <w:rFonts w:ascii="Calibri" w:eastAsia="Calibri" w:hAnsi="Calibri" w:cs="Calibri"/>
          <w:b/>
          <w:bCs/>
          <w:color w:val="0C6E73"/>
        </w:rPr>
        <w:t xml:space="preserve">•  </w:t>
      </w:r>
      <w:r>
        <w:rPr>
          <w:rFonts w:ascii="Calibri" w:eastAsia="Calibri" w:hAnsi="Calibri" w:cs="Calibri"/>
          <w:b/>
          <w:bCs/>
          <w:color w:val="333333"/>
        </w:rPr>
        <w:t>Delivery Governance:</w:t>
      </w:r>
      <w:r>
        <w:rPr>
          <w:rFonts w:ascii="Calibri" w:eastAsia="Calibri" w:hAnsi="Calibri" w:cs="Calibri"/>
          <w:color w:val="333333"/>
        </w:rPr>
        <w:t xml:space="preserve"> Migration and cutover governance including rehearsal schedules, cutover runbooks, rollback procedures, go/no-go frameworks, and structured hypercare through stabilisation to steady-state handover.</w:t>
      </w:r>
    </w:p>
    <w:p w14:paraId="4EE07998" w14:textId="77777777" w:rsidR="00940C7A" w:rsidRDefault="00940C7A">
      <w:pPr>
        <w:spacing w:before="80"/>
      </w:pPr>
    </w:p>
    <w:sectPr w:rsidR="00940C7A">
      <w:footerReference w:type="default" r:id="rId7"/>
      <w:pgSz w:w="11906" w:h="16838"/>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85195" w14:textId="77777777" w:rsidR="00457398" w:rsidRDefault="00457398">
      <w:r>
        <w:separator/>
      </w:r>
    </w:p>
  </w:endnote>
  <w:endnote w:type="continuationSeparator" w:id="0">
    <w:p w14:paraId="0FE03CB3" w14:textId="77777777" w:rsidR="00457398" w:rsidRDefault="004573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D9C81" w14:textId="77777777" w:rsidR="00940C7A" w:rsidRDefault="00000000">
    <w:pPr>
      <w:jc w:val="center"/>
    </w:pPr>
    <w:r>
      <w:rPr>
        <w:rFonts w:ascii="Calibri" w:eastAsia="Calibri" w:hAnsi="Calibri" w:cs="Calibri"/>
        <w:color w:val="666666"/>
        <w:sz w:val="16"/>
        <w:szCs w:val="16"/>
      </w:rPr>
      <w:t xml:space="preserve">Page </w:t>
    </w:r>
    <w:r>
      <w:rPr>
        <w:rFonts w:ascii="Calibri" w:eastAsia="Calibri" w:hAnsi="Calibri" w:cs="Calibri"/>
        <w:color w:val="666666"/>
        <w:sz w:val="16"/>
        <w:szCs w:val="16"/>
      </w:rPr>
      <w:fldChar w:fldCharType="begin"/>
    </w:r>
    <w:r>
      <w:rPr>
        <w:rFonts w:ascii="Calibri" w:eastAsia="Calibri" w:hAnsi="Calibri" w:cs="Calibri"/>
        <w:color w:val="666666"/>
        <w:sz w:val="16"/>
        <w:szCs w:val="16"/>
      </w:rPr>
      <w:instrText>PAGE</w:instrText>
    </w:r>
    <w:r>
      <w:rPr>
        <w:rFonts w:ascii="Calibri" w:eastAsia="Calibri" w:hAnsi="Calibri" w:cs="Calibri"/>
        <w:color w:val="666666"/>
        <w:sz w:val="16"/>
        <w:szCs w:val="16"/>
      </w:rPr>
      <w:fldChar w:fldCharType="separate"/>
    </w:r>
    <w:r w:rsidR="001B7F83">
      <w:rPr>
        <w:rFonts w:ascii="Calibri" w:eastAsia="Calibri" w:hAnsi="Calibri" w:cs="Calibri"/>
        <w:noProof/>
        <w:color w:val="666666"/>
        <w:sz w:val="16"/>
        <w:szCs w:val="16"/>
      </w:rPr>
      <w:t>1</w:t>
    </w:r>
    <w:r>
      <w:rPr>
        <w:rFonts w:ascii="Calibri" w:eastAsia="Calibri" w:hAnsi="Calibri" w:cs="Calibri"/>
        <w:color w:val="666666"/>
        <w:sz w:val="16"/>
        <w:szCs w:val="16"/>
      </w:rPr>
      <w:fldChar w:fldCharType="end"/>
    </w:r>
    <w:r>
      <w:rPr>
        <w:rFonts w:ascii="Calibri" w:eastAsia="Calibri" w:hAnsi="Calibri" w:cs="Calibri"/>
        <w:color w:val="666666"/>
        <w:sz w:val="16"/>
        <w:szCs w:val="16"/>
      </w:rPr>
      <w:t xml:space="preserve"> of </w:t>
    </w:r>
    <w:r>
      <w:rPr>
        <w:rFonts w:ascii="Calibri" w:eastAsia="Calibri" w:hAnsi="Calibri" w:cs="Calibri"/>
        <w:color w:val="666666"/>
        <w:sz w:val="16"/>
        <w:szCs w:val="16"/>
      </w:rPr>
      <w:fldChar w:fldCharType="begin"/>
    </w:r>
    <w:r>
      <w:rPr>
        <w:rFonts w:ascii="Calibri" w:eastAsia="Calibri" w:hAnsi="Calibri" w:cs="Calibri"/>
        <w:color w:val="666666"/>
        <w:sz w:val="16"/>
        <w:szCs w:val="16"/>
      </w:rPr>
      <w:instrText>NUMPAGES</w:instrText>
    </w:r>
    <w:r>
      <w:rPr>
        <w:rFonts w:ascii="Calibri" w:eastAsia="Calibri" w:hAnsi="Calibri" w:cs="Calibri"/>
        <w:color w:val="666666"/>
        <w:sz w:val="16"/>
        <w:szCs w:val="16"/>
      </w:rPr>
      <w:fldChar w:fldCharType="separate"/>
    </w:r>
    <w:r w:rsidR="001B7F83">
      <w:rPr>
        <w:rFonts w:ascii="Calibri" w:eastAsia="Calibri" w:hAnsi="Calibri" w:cs="Calibri"/>
        <w:noProof/>
        <w:color w:val="666666"/>
        <w:sz w:val="16"/>
        <w:szCs w:val="16"/>
      </w:rPr>
      <w:t>2</w:t>
    </w:r>
    <w:r>
      <w:rPr>
        <w:rFonts w:ascii="Calibri" w:eastAsia="Calibri" w:hAnsi="Calibri" w:cs="Calibri"/>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395CF" w14:textId="77777777" w:rsidR="00457398" w:rsidRDefault="00457398">
      <w:r>
        <w:separator/>
      </w:r>
    </w:p>
  </w:footnote>
  <w:footnote w:type="continuationSeparator" w:id="0">
    <w:p w14:paraId="764FF93F" w14:textId="77777777" w:rsidR="00457398" w:rsidRDefault="004573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D70B1"/>
    <w:multiLevelType w:val="hybridMultilevel"/>
    <w:tmpl w:val="252ED95A"/>
    <w:lvl w:ilvl="0" w:tplc="F2DEC0DC">
      <w:start w:val="1"/>
      <w:numFmt w:val="bullet"/>
      <w:lvlText w:val="●"/>
      <w:lvlJc w:val="left"/>
      <w:pPr>
        <w:ind w:left="720" w:hanging="360"/>
      </w:pPr>
    </w:lvl>
    <w:lvl w:ilvl="1" w:tplc="331C1B54">
      <w:start w:val="1"/>
      <w:numFmt w:val="bullet"/>
      <w:lvlText w:val="○"/>
      <w:lvlJc w:val="left"/>
      <w:pPr>
        <w:ind w:left="1440" w:hanging="360"/>
      </w:pPr>
    </w:lvl>
    <w:lvl w:ilvl="2" w:tplc="A6C0C492">
      <w:start w:val="1"/>
      <w:numFmt w:val="bullet"/>
      <w:lvlText w:val="■"/>
      <w:lvlJc w:val="left"/>
      <w:pPr>
        <w:ind w:left="2160" w:hanging="360"/>
      </w:pPr>
    </w:lvl>
    <w:lvl w:ilvl="3" w:tplc="C2BAD1E4">
      <w:start w:val="1"/>
      <w:numFmt w:val="bullet"/>
      <w:lvlText w:val="●"/>
      <w:lvlJc w:val="left"/>
      <w:pPr>
        <w:ind w:left="2880" w:hanging="360"/>
      </w:pPr>
    </w:lvl>
    <w:lvl w:ilvl="4" w:tplc="B2A4E1D6">
      <w:start w:val="1"/>
      <w:numFmt w:val="bullet"/>
      <w:lvlText w:val="○"/>
      <w:lvlJc w:val="left"/>
      <w:pPr>
        <w:ind w:left="3600" w:hanging="360"/>
      </w:pPr>
    </w:lvl>
    <w:lvl w:ilvl="5" w:tplc="57A24554">
      <w:start w:val="1"/>
      <w:numFmt w:val="bullet"/>
      <w:lvlText w:val="■"/>
      <w:lvlJc w:val="left"/>
      <w:pPr>
        <w:ind w:left="4320" w:hanging="360"/>
      </w:pPr>
    </w:lvl>
    <w:lvl w:ilvl="6" w:tplc="14DA61DC">
      <w:start w:val="1"/>
      <w:numFmt w:val="bullet"/>
      <w:lvlText w:val="●"/>
      <w:lvlJc w:val="left"/>
      <w:pPr>
        <w:ind w:left="5040" w:hanging="360"/>
      </w:pPr>
    </w:lvl>
    <w:lvl w:ilvl="7" w:tplc="BE86C920">
      <w:start w:val="1"/>
      <w:numFmt w:val="bullet"/>
      <w:lvlText w:val="●"/>
      <w:lvlJc w:val="left"/>
      <w:pPr>
        <w:ind w:left="5760" w:hanging="360"/>
      </w:pPr>
    </w:lvl>
    <w:lvl w:ilvl="8" w:tplc="476084B4">
      <w:start w:val="1"/>
      <w:numFmt w:val="bullet"/>
      <w:lvlText w:val="●"/>
      <w:lvlJc w:val="left"/>
      <w:pPr>
        <w:ind w:left="6480" w:hanging="360"/>
      </w:pPr>
    </w:lvl>
  </w:abstractNum>
  <w:num w:numId="1" w16cid:durableId="15372365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C7A"/>
    <w:rsid w:val="001B7F83"/>
    <w:rsid w:val="001D228F"/>
    <w:rsid w:val="00457398"/>
    <w:rsid w:val="00940C7A"/>
    <w:rsid w:val="00C77216"/>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5BB09"/>
  <w15:docId w15:val="{EA625F62-F2F0-47D8-98B0-77141B686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L" w:eastAsia="en-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2185</Words>
  <Characters>12459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Dimos Gougousis</cp:lastModifiedBy>
  <cp:revision>2</cp:revision>
  <dcterms:created xsi:type="dcterms:W3CDTF">2026-04-09T22:57:00Z</dcterms:created>
  <dcterms:modified xsi:type="dcterms:W3CDTF">2026-04-10T09:18:00Z</dcterms:modified>
</cp:coreProperties>
</file>