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4EB13" w14:textId="77777777" w:rsidR="004B6E0B" w:rsidRDefault="00000000">
      <w:pPr>
        <w:spacing w:line="264" w:lineRule="auto"/>
      </w:pPr>
      <w:r>
        <w:rPr>
          <w:b/>
          <w:bCs/>
          <w:sz w:val="26"/>
          <w:szCs w:val="26"/>
        </w:rPr>
        <w:t>Dimos Gougousis</w:t>
      </w:r>
    </w:p>
    <w:p w14:paraId="05BAE6BD" w14:textId="77777777" w:rsidR="004B6E0B" w:rsidRDefault="00000000">
      <w:pPr>
        <w:spacing w:line="264" w:lineRule="auto"/>
      </w:pPr>
      <w:r>
        <w:t>Amstelveen, The Netherlands</w:t>
      </w:r>
    </w:p>
    <w:p w14:paraId="6E3281ED" w14:textId="77777777" w:rsidR="004B6E0B" w:rsidRDefault="00000000">
      <w:pPr>
        <w:spacing w:after="240" w:line="264" w:lineRule="auto"/>
      </w:pPr>
      <w:proofErr w:type="gramStart"/>
      <w:r>
        <w:t>Dimos.Gougousis.1976@gmail.com  ·</w:t>
      </w:r>
      <w:proofErr w:type="gramEnd"/>
      <w:r>
        <w:t xml:space="preserve">  +31 621 145 195</w:t>
      </w:r>
    </w:p>
    <w:p w14:paraId="22AF53D1" w14:textId="30426701" w:rsidR="004B6E0B" w:rsidRDefault="00000000">
      <w:pPr>
        <w:spacing w:after="240"/>
      </w:pPr>
      <w:r>
        <w:t xml:space="preserve">1 </w:t>
      </w:r>
      <w:r w:rsidR="004A6FBA">
        <w:t>June</w:t>
      </w:r>
      <w:r>
        <w:t xml:space="preserve"> 2026</w:t>
      </w:r>
    </w:p>
    <w:p w14:paraId="3B2F3000" w14:textId="77777777" w:rsidR="004B6E0B" w:rsidRDefault="00000000">
      <w:pPr>
        <w:spacing w:line="264" w:lineRule="auto"/>
      </w:pPr>
      <w:r>
        <w:rPr>
          <w:b/>
          <w:bCs/>
        </w:rPr>
        <w:t>NXP Semiconductors</w:t>
      </w:r>
    </w:p>
    <w:p w14:paraId="1C5136E2" w14:textId="77777777" w:rsidR="004B6E0B" w:rsidRDefault="00000000">
      <w:pPr>
        <w:spacing w:line="264" w:lineRule="auto"/>
      </w:pPr>
      <w:r>
        <w:t>Data &amp; AI Governance Team</w:t>
      </w:r>
    </w:p>
    <w:p w14:paraId="72B34F7E" w14:textId="77777777" w:rsidR="004B6E0B" w:rsidRDefault="00000000">
      <w:pPr>
        <w:spacing w:after="240" w:line="264" w:lineRule="auto"/>
      </w:pPr>
      <w:r>
        <w:rPr>
          <w:b/>
          <w:bCs/>
        </w:rPr>
        <w:t>Re: AI Governance Specialist</w:t>
      </w:r>
    </w:p>
    <w:p w14:paraId="63FD9B58" w14:textId="77777777" w:rsidR="004B6E0B" w:rsidRDefault="00000000">
      <w:pPr>
        <w:spacing w:after="200"/>
      </w:pPr>
      <w:r>
        <w:t>Dear Hiring Team,</w:t>
      </w:r>
    </w:p>
    <w:p w14:paraId="133D6181" w14:textId="48E591C5" w:rsidR="004B6E0B" w:rsidRDefault="004A6FBA">
      <w:pPr>
        <w:spacing w:after="200" w:line="276" w:lineRule="auto"/>
        <w:jc w:val="both"/>
      </w:pPr>
      <w:r w:rsidRPr="004A6FBA">
        <w:t>Most AI governance roles ask you to govern the AI. NXP's is more interesting: you also build the silicon that runs it at the edge. Governance at NXP therefore spans several layers at once — the AI NXP uses internally, the AI capability NXP ships to customers, and the AI those customers ultimately deploy in cars, factories, and connected devices, often under hard safety constraints. Bringing structure to exactly this kind of layered, technical, cross-functional complexity is where I do my best work, and it's why I'm applying for the AI Governance Specialist role.</w:t>
      </w:r>
    </w:p>
    <w:p w14:paraId="34D23FDF" w14:textId="2A8DB5DA" w:rsidR="004B6E0B" w:rsidRDefault="00000000">
      <w:pPr>
        <w:spacing w:after="200" w:line="276" w:lineRule="auto"/>
        <w:jc w:val="both"/>
      </w:pPr>
      <w:r>
        <w:t xml:space="preserve">Rather than describe governance in the abstract, I did the work. I built a </w:t>
      </w:r>
      <w:r>
        <w:rPr>
          <w:b/>
          <w:bCs/>
        </w:rPr>
        <w:t>12-domain, 141-control AI governance framework specifically for NXP’s edge AI portfolio</w:t>
      </w:r>
      <w:r>
        <w:t xml:space="preserve"> — scoped to the i.MX family across the full lifecycle from conception to </w:t>
      </w:r>
      <w:proofErr w:type="gramStart"/>
      <w:r>
        <w:t>retirement, and</w:t>
      </w:r>
      <w:proofErr w:type="gramEnd"/>
      <w:r>
        <w:t xml:space="preserve"> aligned at article/section/function level to the EU AI Act, ISO/IEC 42001, NIST AI RMF, GDPR, IEC 61508, and ISO 26262. It is not a theoretical construct: it includes two fully worked governance examples — a GenAI factory advisory assistant and a SIL-2 / Level-3-autonomy agentic building-safety system — each carried through real governance checkpoints with a five-lens risk assessment (EU AI Act classification, ethical, legal, reputational, audit-readiness), a multi-agent HARA producing an ASIL/SIL determination, a prohibited-decisions registry, and a Governance Committee approval memo with binding conditions and a post-deployment review trigger. I would be glad to walk the team through it; it is the clearest evidence I can offer that I understand both the regulatory frameworks and how governance </w:t>
      </w:r>
      <w:proofErr w:type="gramStart"/>
      <w:r w:rsidR="004A6FBA">
        <w:t>has</w:t>
      </w:r>
      <w:r>
        <w:t xml:space="preserve"> to</w:t>
      </w:r>
      <w:proofErr w:type="gramEnd"/>
      <w:r>
        <w:t xml:space="preserve"> land inside an engineering organisation.</w:t>
      </w:r>
    </w:p>
    <w:p w14:paraId="00E915B9" w14:textId="77777777" w:rsidR="004B6E0B" w:rsidRDefault="00000000">
      <w:pPr>
        <w:spacing w:after="200" w:line="276" w:lineRule="auto"/>
        <w:jc w:val="both"/>
      </w:pPr>
      <w:r>
        <w:t xml:space="preserve">My operating principle throughout is that </w:t>
      </w:r>
      <w:r>
        <w:rPr>
          <w:b/>
          <w:bCs/>
        </w:rPr>
        <w:t>governance should make it easier to do AI right than to do AI wrong</w:t>
      </w:r>
      <w:r>
        <w:t xml:space="preserve"> — risk-proportionate, with fast-lane self-certification for minimal-risk systems and a hard pre-deployment gate for high-risk ones, so it protects innovation instead of blocking it. In my independent practice I also built and shipped an </w:t>
      </w:r>
      <w:r>
        <w:rPr>
          <w:b/>
          <w:bCs/>
        </w:rPr>
        <w:t>EU AI Act compliance platform</w:t>
      </w:r>
      <w:r>
        <w:t xml:space="preserve"> — a five-agent system on Azure OpenAI / AWS Bedrock that classifies use cases by risk tier, generates documentation and conformity checks, routes high-risk cases to human review, and produces an Article-12 audit trail on every decision — cutting manual compliance effort by ~80% with full audit coverage. I am a Certified EU AI Act Professional, and I treat policy-as-code: shipped through CI, version-controlled, and measured on adoption.</w:t>
      </w:r>
    </w:p>
    <w:p w14:paraId="08F3072B" w14:textId="77777777" w:rsidR="004B6E0B" w:rsidRDefault="00000000">
      <w:pPr>
        <w:spacing w:after="200" w:line="276" w:lineRule="auto"/>
        <w:jc w:val="both"/>
      </w:pPr>
      <w:r>
        <w:t xml:space="preserve">That recent specialisation sits on top of 20 years across the </w:t>
      </w:r>
      <w:proofErr w:type="gramStart"/>
      <w:r>
        <w:t>full</w:t>
      </w:r>
      <w:proofErr w:type="gramEnd"/>
      <w:r>
        <w:t xml:space="preserve"> digital-product lifecycle, most of it at Temenos delivering banking software into heavily regulated environments. Several threads connect straight to your brief:</w:t>
      </w:r>
    </w:p>
    <w:p w14:paraId="6E66AF7F" w14:textId="0157895F" w:rsidR="004B6E0B" w:rsidRDefault="00000000">
      <w:pPr>
        <w:pStyle w:val="ListParagraph"/>
        <w:numPr>
          <w:ilvl w:val="0"/>
          <w:numId w:val="2"/>
        </w:numPr>
        <w:spacing w:after="140" w:line="276" w:lineRule="auto"/>
        <w:jc w:val="both"/>
      </w:pPr>
      <w:r>
        <w:rPr>
          <w:b/>
          <w:bCs/>
        </w:rPr>
        <w:t xml:space="preserve">Governance that survives review. </w:t>
      </w:r>
      <w:r>
        <w:t xml:space="preserve">As Senior Technical Product Owner I owned Temenos’ cross-product governance layer — the rules engine, security guardrails, and access controls spanning the SaaS suite — translating regulatory, security, and </w:t>
      </w:r>
      <w:r w:rsidR="00830942">
        <w:t xml:space="preserve">cloud </w:t>
      </w:r>
      <w:r>
        <w:t>architectural requirements into clear, enforceable acceptance criteria. I design controls in from the start rather than retrofitting them.</w:t>
      </w:r>
    </w:p>
    <w:p w14:paraId="74678D49" w14:textId="77777777" w:rsidR="004B6E0B" w:rsidRDefault="00000000">
      <w:pPr>
        <w:pStyle w:val="ListParagraph"/>
        <w:numPr>
          <w:ilvl w:val="0"/>
          <w:numId w:val="2"/>
        </w:numPr>
        <w:spacing w:after="140" w:line="276" w:lineRule="auto"/>
        <w:jc w:val="both"/>
      </w:pPr>
      <w:r>
        <w:rPr>
          <w:b/>
          <w:bCs/>
        </w:rPr>
        <w:lastRenderedPageBreak/>
        <w:t xml:space="preserve">Risk assessment across dimensions. </w:t>
      </w:r>
      <w:r>
        <w:t>I redesigned platform intake as a risk-based routing model, classifying work by impact, effort, and compliance risk. Earlier, as Lead Solution Architect, I delivered compliance integrations (MiFID II, Basel III, KYC/AML) across ABN AMRO, UBS, Nordea, and Bank Leumi.</w:t>
      </w:r>
    </w:p>
    <w:p w14:paraId="43A43290" w14:textId="77777777" w:rsidR="004B6E0B" w:rsidRDefault="00000000">
      <w:pPr>
        <w:pStyle w:val="ListParagraph"/>
        <w:numPr>
          <w:ilvl w:val="0"/>
          <w:numId w:val="2"/>
        </w:numPr>
        <w:spacing w:after="140" w:line="276" w:lineRule="auto"/>
        <w:jc w:val="both"/>
      </w:pPr>
      <w:r>
        <w:rPr>
          <w:b/>
          <w:bCs/>
        </w:rPr>
        <w:t xml:space="preserve">Stakeholder influence across domains. </w:t>
      </w:r>
      <w:r>
        <w:t xml:space="preserve">I was the central intake and prioritisation point across 180+ concurrent workstreams spanning five product teams, secured 100% C-level sign-off on complex roadmaps by translating engineering trade-offs into business language, and ran architecture workshops with bank CTOs, security officers, and operations directors. NXP’s brief to collaborate across Data, Technology, IT, Legal, Government Affairs, and the AI </w:t>
      </w:r>
      <w:proofErr w:type="spellStart"/>
      <w:r>
        <w:t>Centers</w:t>
      </w:r>
      <w:proofErr w:type="spellEnd"/>
      <w:r>
        <w:t xml:space="preserve"> of Expertise — for which my framework already proposes a hub-and-spoke structure with a cross-functional Governance Committee and domain working groups — reads like work I already do.</w:t>
      </w:r>
    </w:p>
    <w:p w14:paraId="0D34A0B2" w14:textId="77777777" w:rsidR="004B6E0B" w:rsidRDefault="00000000">
      <w:pPr>
        <w:pStyle w:val="ListParagraph"/>
        <w:numPr>
          <w:ilvl w:val="0"/>
          <w:numId w:val="2"/>
        </w:numPr>
        <w:spacing w:after="140" w:line="276" w:lineRule="auto"/>
        <w:jc w:val="both"/>
      </w:pPr>
      <w:r>
        <w:rPr>
          <w:b/>
          <w:bCs/>
        </w:rPr>
        <w:t xml:space="preserve">Staying ahead of the regulation. </w:t>
      </w:r>
      <w:r>
        <w:t>I run regulatory horizon-scanning as a standing weekly process (EUR-Lex, ISO/IEC SC 42 ballots, NIST profiles, sector regulators) feeding a living standards register and quarterly governance briefings — not ad-hoc newsletter reading. I am currently building agentic governance frameworks for technical product teams in regulated manufacturing and wholesale.</w:t>
      </w:r>
    </w:p>
    <w:p w14:paraId="37059319" w14:textId="1C79E0AC" w:rsidR="004B6E0B" w:rsidRDefault="00000000">
      <w:pPr>
        <w:spacing w:before="80" w:after="200" w:line="276" w:lineRule="auto"/>
        <w:jc w:val="both"/>
      </w:pPr>
      <w:r>
        <w:t xml:space="preserve">On the formal requirements: I </w:t>
      </w:r>
      <w:r w:rsidR="00830942">
        <w:t xml:space="preserve">trained further at an Executive </w:t>
      </w:r>
      <w:r>
        <w:t>MBA in Business &amp; IT from Nyenrode Business University, my experience sits at the senior end of your 10–15 year range, and English is my daily professional working language (with native Greek and conversational Dutch — I’m based in Amstelveen).</w:t>
      </w:r>
    </w:p>
    <w:p w14:paraId="6BE8F607" w14:textId="77777777" w:rsidR="004B6E0B" w:rsidRDefault="00000000">
      <w:pPr>
        <w:spacing w:after="200" w:line="276" w:lineRule="auto"/>
        <w:jc w:val="both"/>
      </w:pPr>
      <w:r>
        <w:t>What draws me to NXP is the chance to do this work where it matters most — at the layer where AI meets the physical world, under real safety and compliance constraints. I bring a structured, proactive, hands-on, delivery-focused mindset to ambiguous problems, and I would welcome the opportunity to help grow NXP’s enterprise-wide AI governance capability into something both responsible and genuinely scalable.</w:t>
      </w:r>
    </w:p>
    <w:p w14:paraId="6333637A" w14:textId="77777777" w:rsidR="004B6E0B" w:rsidRDefault="00000000">
      <w:pPr>
        <w:spacing w:after="200" w:line="276" w:lineRule="auto"/>
        <w:jc w:val="both"/>
      </w:pPr>
      <w:r>
        <w:t>Thank you for your consideration. I would be delighted to discuss how I can contribute.</w:t>
      </w:r>
    </w:p>
    <w:p w14:paraId="457C1FC1" w14:textId="77777777" w:rsidR="004B6E0B" w:rsidRDefault="00000000">
      <w:pPr>
        <w:spacing w:before="120"/>
      </w:pPr>
      <w:r>
        <w:t>Sincerely,</w:t>
      </w:r>
    </w:p>
    <w:p w14:paraId="45DB0030" w14:textId="77777777" w:rsidR="004B6E0B" w:rsidRDefault="00000000">
      <w:pPr>
        <w:spacing w:before="240"/>
      </w:pPr>
      <w:r>
        <w:rPr>
          <w:b/>
          <w:bCs/>
        </w:rPr>
        <w:t>Dimos Gougousis</w:t>
      </w:r>
    </w:p>
    <w:sectPr w:rsidR="004B6E0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C7EEF"/>
    <w:multiLevelType w:val="hybridMultilevel"/>
    <w:tmpl w:val="FA088A88"/>
    <w:lvl w:ilvl="0" w:tplc="EF7AC3EE">
      <w:start w:val="1"/>
      <w:numFmt w:val="bullet"/>
      <w:lvlText w:val="•"/>
      <w:lvlJc w:val="left"/>
      <w:pPr>
        <w:ind w:left="460" w:hanging="260"/>
      </w:pPr>
    </w:lvl>
    <w:lvl w:ilvl="1" w:tplc="1FFEADE0">
      <w:numFmt w:val="decimal"/>
      <w:lvlText w:val=""/>
      <w:lvlJc w:val="left"/>
    </w:lvl>
    <w:lvl w:ilvl="2" w:tplc="0CD2534E">
      <w:numFmt w:val="decimal"/>
      <w:lvlText w:val=""/>
      <w:lvlJc w:val="left"/>
    </w:lvl>
    <w:lvl w:ilvl="3" w:tplc="3CF63BDE">
      <w:numFmt w:val="decimal"/>
      <w:lvlText w:val=""/>
      <w:lvlJc w:val="left"/>
    </w:lvl>
    <w:lvl w:ilvl="4" w:tplc="277C430E">
      <w:numFmt w:val="decimal"/>
      <w:lvlText w:val=""/>
      <w:lvlJc w:val="left"/>
    </w:lvl>
    <w:lvl w:ilvl="5" w:tplc="BE902FAA">
      <w:numFmt w:val="decimal"/>
      <w:lvlText w:val=""/>
      <w:lvlJc w:val="left"/>
    </w:lvl>
    <w:lvl w:ilvl="6" w:tplc="DED64F8C">
      <w:numFmt w:val="decimal"/>
      <w:lvlText w:val=""/>
      <w:lvlJc w:val="left"/>
    </w:lvl>
    <w:lvl w:ilvl="7" w:tplc="00CA7EB2">
      <w:numFmt w:val="decimal"/>
      <w:lvlText w:val=""/>
      <w:lvlJc w:val="left"/>
    </w:lvl>
    <w:lvl w:ilvl="8" w:tplc="FE84B15A">
      <w:numFmt w:val="decimal"/>
      <w:lvlText w:val=""/>
      <w:lvlJc w:val="left"/>
    </w:lvl>
  </w:abstractNum>
  <w:abstractNum w:abstractNumId="1" w15:restartNumberingAfterBreak="0">
    <w:nsid w:val="419B12DB"/>
    <w:multiLevelType w:val="hybridMultilevel"/>
    <w:tmpl w:val="C590B228"/>
    <w:lvl w:ilvl="0" w:tplc="250227E6">
      <w:start w:val="1"/>
      <w:numFmt w:val="bullet"/>
      <w:lvlText w:val="●"/>
      <w:lvlJc w:val="left"/>
      <w:pPr>
        <w:ind w:left="720" w:hanging="360"/>
      </w:pPr>
    </w:lvl>
    <w:lvl w:ilvl="1" w:tplc="E620104E">
      <w:start w:val="1"/>
      <w:numFmt w:val="bullet"/>
      <w:lvlText w:val="○"/>
      <w:lvlJc w:val="left"/>
      <w:pPr>
        <w:ind w:left="1440" w:hanging="360"/>
      </w:pPr>
    </w:lvl>
    <w:lvl w:ilvl="2" w:tplc="D1A08C1A">
      <w:start w:val="1"/>
      <w:numFmt w:val="bullet"/>
      <w:lvlText w:val="■"/>
      <w:lvlJc w:val="left"/>
      <w:pPr>
        <w:ind w:left="2160" w:hanging="360"/>
      </w:pPr>
    </w:lvl>
    <w:lvl w:ilvl="3" w:tplc="29CA9C7A">
      <w:start w:val="1"/>
      <w:numFmt w:val="bullet"/>
      <w:lvlText w:val="●"/>
      <w:lvlJc w:val="left"/>
      <w:pPr>
        <w:ind w:left="2880" w:hanging="360"/>
      </w:pPr>
    </w:lvl>
    <w:lvl w:ilvl="4" w:tplc="81AC2E84">
      <w:start w:val="1"/>
      <w:numFmt w:val="bullet"/>
      <w:lvlText w:val="○"/>
      <w:lvlJc w:val="left"/>
      <w:pPr>
        <w:ind w:left="3600" w:hanging="360"/>
      </w:pPr>
    </w:lvl>
    <w:lvl w:ilvl="5" w:tplc="CA0A6078">
      <w:start w:val="1"/>
      <w:numFmt w:val="bullet"/>
      <w:lvlText w:val="■"/>
      <w:lvlJc w:val="left"/>
      <w:pPr>
        <w:ind w:left="4320" w:hanging="360"/>
      </w:pPr>
    </w:lvl>
    <w:lvl w:ilvl="6" w:tplc="7390F2D2">
      <w:start w:val="1"/>
      <w:numFmt w:val="bullet"/>
      <w:lvlText w:val="●"/>
      <w:lvlJc w:val="left"/>
      <w:pPr>
        <w:ind w:left="5040" w:hanging="360"/>
      </w:pPr>
    </w:lvl>
    <w:lvl w:ilvl="7" w:tplc="287C6926">
      <w:start w:val="1"/>
      <w:numFmt w:val="bullet"/>
      <w:lvlText w:val="●"/>
      <w:lvlJc w:val="left"/>
      <w:pPr>
        <w:ind w:left="5760" w:hanging="360"/>
      </w:pPr>
    </w:lvl>
    <w:lvl w:ilvl="8" w:tplc="3BC08A04">
      <w:start w:val="1"/>
      <w:numFmt w:val="bullet"/>
      <w:lvlText w:val="●"/>
      <w:lvlJc w:val="left"/>
      <w:pPr>
        <w:ind w:left="6480" w:hanging="360"/>
      </w:pPr>
    </w:lvl>
  </w:abstractNum>
  <w:num w:numId="1" w16cid:durableId="1812015019">
    <w:abstractNumId w:val="1"/>
    <w:lvlOverride w:ilvl="0">
      <w:startOverride w:val="1"/>
    </w:lvlOverride>
  </w:num>
  <w:num w:numId="2" w16cid:durableId="16192141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6E0B"/>
    <w:rsid w:val="003F230D"/>
    <w:rsid w:val="004A6FBA"/>
    <w:rsid w:val="004B6E0B"/>
    <w:rsid w:val="00830942"/>
    <w:rsid w:val="00E15D26"/>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E5BCE"/>
  <w15:docId w15:val="{E488D50E-8DC9-4769-A632-E68537DEF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NL" w:eastAsia="en-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817</Words>
  <Characters>4658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and Data Governance</dc:title>
  <dc:subject>Motivation Letter</dc:subject>
  <dc:creator>Dimos Gougousis</dc:creator>
  <cp:keywords>NXP Governance</cp:keywords>
  <cp:lastModifiedBy>Dimos Gougousis</cp:lastModifiedBy>
  <cp:revision>2</cp:revision>
  <cp:lastPrinted>2026-05-31T21:13:00Z</cp:lastPrinted>
  <dcterms:created xsi:type="dcterms:W3CDTF">2026-05-31T21:28:00Z</dcterms:created>
  <dcterms:modified xsi:type="dcterms:W3CDTF">2026-05-31T21:28:00Z</dcterms:modified>
</cp:coreProperties>
</file>