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aps/>
          <w:color w:val="B08D57"/>
          <w:sz w:val="20"/>
          <w:szCs w:val="20"/>
        </w:rPr>
        <w:t xml:space="preserve">PROGRAM MANAGEMENT CASE STUDY</w:t>
      </w:r>
    </w:p>
    <w:p>
      <w:pPr>
        <w:spacing w:after="80"/>
        <w:jc w:val="center"/>
      </w:pPr>
      <w:r>
        <w:rPr>
          <w:rFonts w:ascii="Calibri" w:cs="Calibri" w:eastAsia="Calibri" w:hAnsi="Calibri"/>
          <w:b/>
          <w:bCs/>
          <w:color w:val="1F3864"/>
          <w:sz w:val="40"/>
          <w:szCs w:val="40"/>
        </w:rPr>
        <w:t xml:space="preserve">POS &amp; Inventory System Migration</w:t>
      </w:r>
    </w:p>
    <w:p>
      <w:pPr>
        <w:spacing w:after="300"/>
        <w:jc w:val="center"/>
      </w:pPr>
      <w:r>
        <w:rPr>
          <w:rFonts w:ascii="Calibri" w:cs="Calibri" w:eastAsia="Calibri" w:hAnsi="Calibri"/>
          <w:i/>
          <w:iCs/>
          <w:color w:val="444444"/>
          <w:sz w:val="24"/>
          <w:szCs w:val="24"/>
        </w:rPr>
        <w:t xml:space="preserve">Modernizing Store Operations for a Retail Jewelry Business</w:t>
      </w:r>
    </w:p>
    <w:p>
      <w:pPr>
        <w:spacing w:after="40"/>
        <w:jc w:val="center"/>
      </w:pPr>
      <w:r>
        <w:rPr>
          <w:rFonts w:ascii="Calibri" w:cs="Calibri" w:eastAsia="Calibri" w:hAnsi="Calibri"/>
          <w:sz w:val="20"/>
          <w:szCs w:val="20"/>
        </w:rPr>
        <w:t xml:space="preserve">Prepared by: [Your Name]</w:t>
      </w:r>
    </w:p>
    <w:p>
      <w:pPr>
        <w:spacing w:after="40"/>
        <w:jc w:val="center"/>
      </w:pPr>
      <w:r>
        <w:rPr>
          <w:rFonts w:ascii="Calibri" w:cs="Calibri" w:eastAsia="Calibri" w:hAnsi="Calibri"/>
          <w:sz w:val="20"/>
          <w:szCs w:val="20"/>
        </w:rPr>
        <w:t xml:space="preserve">Role: Program Manager</w:t>
      </w:r>
    </w:p>
    <w:p>
      <w:pPr>
        <w:spacing w:after="400"/>
        <w:jc w:val="center"/>
      </w:pPr>
      <w:r>
        <w:rPr>
          <w:rFonts w:ascii="Calibri" w:cs="Calibri" w:eastAsia="Calibri" w:hAnsi="Calibri"/>
          <w:color w:val="666666"/>
          <w:sz w:val="20"/>
          <w:szCs w:val="20"/>
        </w:rPr>
        <w:t xml:space="preserve">[Month Year]</w:t>
      </w:r>
    </w:p>
    <w:p>
      <w:pPr>
        <w:pStyle w:val="Heading1"/>
        <w:pBdr>
          <w:bottom w:val="single" w:color="1F3864" w:sz="6" w:space="4"/>
        </w:pBdr>
        <w:spacing w:after="160" w:before="360"/>
      </w:pPr>
      <w:r>
        <w:rPr>
          <w:rFonts w:ascii="Calibri" w:cs="Calibri" w:eastAsia="Calibri" w:hAnsi="Calibri"/>
          <w:b/>
          <w:bCs/>
          <w:color w:val="1F3864"/>
          <w:sz w:val="30"/>
          <w:szCs w:val="30"/>
        </w:rPr>
        <w:t xml:space="preserve">Executive Summary</w:t>
      </w:r>
    </w:p>
    <w:p>
      <w:pPr>
        <w:spacing w:after="160"/>
      </w:pPr>
      <w:r>
        <w:rPr>
          <w:rFonts w:ascii="Calibri" w:cs="Calibri" w:eastAsia="Calibri" w:hAnsi="Calibri"/>
          <w:i w:val="false"/>
          <w:iCs w:val="false"/>
          <w:sz w:val="21"/>
          <w:szCs w:val="21"/>
        </w:rPr>
        <w:t xml:space="preserve">This case study documents the end-to-end plan and execution approach for migrating a retail jewelry store's legacy point-of-sale (POS) and inventory system to a modern, cloud-based retail management platform. It reflects the program management skills I applied in my role, including planning, stakeholder alignment, risk management, budgeting, and post-launch evaluation. Figures and names below are illustrative; the approach mirrors real program management practice applicable to any mid-sized retail technology rollout.</w:t>
      </w:r>
    </w:p>
    <w:p>
      <w:pPr>
        <w:pStyle w:val="Heading1"/>
        <w:pBdr>
          <w:bottom w:val="single" w:color="1F3864" w:sz="6" w:space="4"/>
        </w:pBdr>
        <w:spacing w:after="160" w:before="360"/>
      </w:pPr>
      <w:r>
        <w:rPr>
          <w:rFonts w:ascii="Calibri" w:cs="Calibri" w:eastAsia="Calibri" w:hAnsi="Calibri"/>
          <w:b/>
          <w:bCs/>
          <w:color w:val="1F3864"/>
          <w:sz w:val="30"/>
          <w:szCs w:val="30"/>
        </w:rPr>
        <w:t xml:space="preserve">1. Project Charter</w:t>
      </w:r>
    </w:p>
    <w:p>
      <w:pPr>
        <w:pStyle w:val="Heading2"/>
        <w:spacing w:after="120" w:before="240"/>
      </w:pPr>
      <w:r>
        <w:rPr>
          <w:rFonts w:ascii="Calibri" w:cs="Calibri" w:eastAsia="Calibri" w:hAnsi="Calibri"/>
          <w:b/>
          <w:bCs/>
          <w:color w:val="1F3864"/>
          <w:sz w:val="24"/>
          <w:szCs w:val="24"/>
        </w:rPr>
        <w:t xml:space="preserve">Background</w:t>
      </w:r>
    </w:p>
    <w:p>
      <w:pPr>
        <w:spacing w:after="160"/>
      </w:pPr>
      <w:r>
        <w:rPr>
          <w:rFonts w:ascii="Calibri" w:cs="Calibri" w:eastAsia="Calibri" w:hAnsi="Calibri"/>
          <w:i w:val="false"/>
          <w:iCs w:val="false"/>
          <w:sz w:val="21"/>
          <w:szCs w:val="21"/>
        </w:rPr>
        <w:t xml:space="preserve">The store's existing POS and inventory system was over eight years old, ran on unsupported hardware, and lacked real-time inventory visibility across the sales floor, safe stock, and repair intake — a particular risk for high-value jewelry items where accurate tracking is critical for loss prevention, insurance, and customer trust. Manual reconciliation between the register and the inventory spreadsheet consumed several staff hours weekly and introduced errors.</w:t>
      </w:r>
    </w:p>
    <w:p>
      <w:pPr>
        <w:pStyle w:val="Heading2"/>
        <w:spacing w:after="120" w:before="240"/>
      </w:pPr>
      <w:r>
        <w:rPr>
          <w:rFonts w:ascii="Calibri" w:cs="Calibri" w:eastAsia="Calibri" w:hAnsi="Calibri"/>
          <w:b/>
          <w:bCs/>
          <w:color w:val="1F3864"/>
          <w:sz w:val="24"/>
          <w:szCs w:val="24"/>
        </w:rPr>
        <w:t xml:space="preserve">Objective</w:t>
      </w:r>
    </w:p>
    <w:p>
      <w:pPr>
        <w:spacing w:after="160"/>
      </w:pPr>
      <w:r>
        <w:rPr>
          <w:rFonts w:ascii="Calibri" w:cs="Calibri" w:eastAsia="Calibri" w:hAnsi="Calibri"/>
          <w:i w:val="false"/>
          <w:iCs w:val="false"/>
          <w:sz w:val="21"/>
          <w:szCs w:val="21"/>
        </w:rPr>
        <w:t xml:space="preserve">Migrate the store to a cloud-based retail management platform that unifies POS, inventory, and customer relationship data — improving inventory accuracy, reducing manual reconciliation, and enabling real-time reporting — with zero data loss and minimal disruption to daily store operations.</w:t>
      </w:r>
    </w:p>
    <w:p>
      <w:pPr>
        <w:pStyle w:val="Heading2"/>
        <w:spacing w:after="120" w:before="240"/>
      </w:pPr>
      <w:r>
        <w:rPr>
          <w:rFonts w:ascii="Calibri" w:cs="Calibri" w:eastAsia="Calibri" w:hAnsi="Calibri"/>
          <w:b/>
          <w:bCs/>
          <w:color w:val="1F3864"/>
          <w:sz w:val="24"/>
          <w:szCs w:val="24"/>
        </w:rPr>
        <w:t xml:space="preserve">Scope</w:t>
      </w:r>
    </w:p>
    <w:p>
      <w:pPr>
        <w:pStyle w:val="ListParagraph"/>
        <w:numPr>
          <w:ilvl w:val="0"/>
          <w:numId w:val="2"/>
        </w:numPr>
        <w:spacing w:after="80"/>
      </w:pPr>
      <w:r>
        <w:rPr>
          <w:rFonts w:ascii="Calibri" w:cs="Calibri" w:eastAsia="Calibri" w:hAnsi="Calibri"/>
          <w:sz w:val="21"/>
          <w:szCs w:val="21"/>
        </w:rPr>
        <w:t xml:space="preserve">In scope: POS hardware/software replacement, inventory data migration, staff training, integration with existing accounting software, go-live support.</w:t>
      </w:r>
    </w:p>
    <w:p>
      <w:pPr>
        <w:pStyle w:val="ListParagraph"/>
        <w:numPr>
          <w:ilvl w:val="0"/>
          <w:numId w:val="2"/>
        </w:numPr>
        <w:spacing w:after="80"/>
      </w:pPr>
      <w:r>
        <w:rPr>
          <w:rFonts w:ascii="Calibri" w:cs="Calibri" w:eastAsia="Calibri" w:hAnsi="Calibri"/>
          <w:sz w:val="21"/>
          <w:szCs w:val="21"/>
        </w:rPr>
        <w:t xml:space="preserve">Out of scope: E-commerce platform rebuild, loyalty program redesign, multi-store rollout (Phase 2 candidate).</w:t>
      </w:r>
    </w:p>
    <w:p>
      <w:pPr>
        <w:pStyle w:val="Heading2"/>
        <w:spacing w:after="120" w:before="240"/>
      </w:pPr>
      <w:r>
        <w:rPr>
          <w:rFonts w:ascii="Calibri" w:cs="Calibri" w:eastAsia="Calibri" w:hAnsi="Calibri"/>
          <w:b/>
          <w:bCs/>
          <w:color w:val="1F3864"/>
          <w:sz w:val="24"/>
          <w:szCs w:val="24"/>
        </w:rPr>
        <w:t xml:space="preserve">Key Details</w:t>
      </w:r>
    </w:p>
    <w:p>
      <w:pPr>
        <w:spacing w:after="100"/>
      </w:pPr>
      <w:r>
        <w:rPr>
          <w:rFonts w:ascii="Calibri" w:cs="Calibri" w:eastAsia="Calibri" w:hAnsi="Calibri"/>
          <w:b/>
          <w:bCs/>
          <w:color w:val="1F3864"/>
          <w:sz w:val="21"/>
          <w:szCs w:val="21"/>
        </w:rPr>
        <w:t xml:space="preserve">Sponsor:  </w:t>
      </w:r>
      <w:r>
        <w:rPr>
          <w:rFonts w:ascii="Calibri" w:cs="Calibri" w:eastAsia="Calibri" w:hAnsi="Calibri"/>
          <w:sz w:val="21"/>
          <w:szCs w:val="21"/>
        </w:rPr>
        <w:t xml:space="preserve">Store Owner / General Manager</w:t>
      </w:r>
    </w:p>
    <w:p>
      <w:pPr>
        <w:spacing w:after="100"/>
      </w:pPr>
      <w:r>
        <w:rPr>
          <w:rFonts w:ascii="Calibri" w:cs="Calibri" w:eastAsia="Calibri" w:hAnsi="Calibri"/>
          <w:b/>
          <w:bCs/>
          <w:color w:val="1F3864"/>
          <w:sz w:val="21"/>
          <w:szCs w:val="21"/>
        </w:rPr>
        <w:t xml:space="preserve">Program Manager:  </w:t>
      </w:r>
      <w:r>
        <w:rPr>
          <w:rFonts w:ascii="Calibri" w:cs="Calibri" w:eastAsia="Calibri" w:hAnsi="Calibri"/>
          <w:sz w:val="21"/>
          <w:szCs w:val="21"/>
        </w:rPr>
        <w:t xml:space="preserve">[Your Name]</w:t>
      </w:r>
    </w:p>
    <w:p>
      <w:pPr>
        <w:spacing w:after="100"/>
      </w:pPr>
      <w:r>
        <w:rPr>
          <w:rFonts w:ascii="Calibri" w:cs="Calibri" w:eastAsia="Calibri" w:hAnsi="Calibri"/>
          <w:b/>
          <w:bCs/>
          <w:color w:val="1F3864"/>
          <w:sz w:val="21"/>
          <w:szCs w:val="21"/>
        </w:rPr>
        <w:t xml:space="preserve">Timeline:  </w:t>
      </w:r>
      <w:r>
        <w:rPr>
          <w:rFonts w:ascii="Calibri" w:cs="Calibri" w:eastAsia="Calibri" w:hAnsi="Calibri"/>
          <w:sz w:val="21"/>
          <w:szCs w:val="21"/>
        </w:rPr>
        <w:t xml:space="preserve">14 weeks (planning through post-launch review)</w:t>
      </w:r>
    </w:p>
    <w:p>
      <w:pPr>
        <w:spacing w:after="100"/>
      </w:pPr>
      <w:r>
        <w:rPr>
          <w:rFonts w:ascii="Calibri" w:cs="Calibri" w:eastAsia="Calibri" w:hAnsi="Calibri"/>
          <w:b/>
          <w:bCs/>
          <w:color w:val="1F3864"/>
          <w:sz w:val="21"/>
          <w:szCs w:val="21"/>
        </w:rPr>
        <w:t xml:space="preserve">Budget:  </w:t>
      </w:r>
      <w:r>
        <w:rPr>
          <w:rFonts w:ascii="Calibri" w:cs="Calibri" w:eastAsia="Calibri" w:hAnsi="Calibri"/>
          <w:sz w:val="21"/>
          <w:szCs w:val="21"/>
        </w:rPr>
        <w:t xml:space="preserve">$38,500 (see Section 4)</w:t>
      </w:r>
    </w:p>
    <w:p>
      <w:pPr>
        <w:spacing w:after="100"/>
      </w:pPr>
      <w:r>
        <w:rPr>
          <w:rFonts w:ascii="Calibri" w:cs="Calibri" w:eastAsia="Calibri" w:hAnsi="Calibri"/>
          <w:b/>
          <w:bCs/>
          <w:color w:val="1F3864"/>
          <w:sz w:val="21"/>
          <w:szCs w:val="21"/>
        </w:rPr>
        <w:t xml:space="preserve">Success Metrics:  </w:t>
      </w:r>
      <w:r>
        <w:rPr>
          <w:rFonts w:ascii="Calibri" w:cs="Calibri" w:eastAsia="Calibri" w:hAnsi="Calibri"/>
          <w:sz w:val="21"/>
          <w:szCs w:val="21"/>
        </w:rPr>
        <w:t xml:space="preserve">100% inventory data migrated with &lt;0.5% discrepancy · POS downtime during cutover under 4 hours · Staff proficiency confirmed via post-training assessment · Manual reconciliation time reduced by 80%</w:t>
      </w:r>
    </w:p>
    <w:p>
      <w:pPr>
        <w:pStyle w:val="Heading1"/>
        <w:pBdr>
          <w:bottom w:val="single" w:color="1F3864" w:sz="6" w:space="4"/>
        </w:pBdr>
        <w:spacing w:after="160" w:before="360"/>
      </w:pPr>
      <w:r>
        <w:rPr>
          <w:rFonts w:ascii="Calibri" w:cs="Calibri" w:eastAsia="Calibri" w:hAnsi="Calibri"/>
          <w:b/>
          <w:bCs/>
          <w:color w:val="1F3864"/>
          <w:sz w:val="30"/>
          <w:szCs w:val="30"/>
        </w:rPr>
        <w:t xml:space="preserve">2. Stakeholder Map</w:t>
      </w:r>
    </w:p>
    <w:p>
      <w:pPr>
        <w:spacing w:after="160"/>
      </w:pPr>
      <w:r>
        <w:rPr>
          <w:rFonts w:ascii="Calibri" w:cs="Calibri" w:eastAsia="Calibri" w:hAnsi="Calibri"/>
          <w:i w:val="false"/>
          <w:iCs w:val="false"/>
          <w:sz w:val="21"/>
          <w:szCs w:val="21"/>
        </w:rPr>
        <w:t xml:space="preserve">Identifying who is affected by the migration — and how much influence they have over its success — shaped the communication cadence and change-management approach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400"/>
        <w:gridCol w:w="3100"/>
      </w:tblGrid>
      <w:tr>
        <w:trPr>
          <w:tblHeader/>
        </w:trPr>
        <w:tc>
          <w:tcPr>
            <w:tcW w:type="dxa" w:w="19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Stakeholder</w:t>
            </w:r>
          </w:p>
        </w:tc>
        <w:tc>
          <w:tcPr>
            <w:tcW w:type="dxa" w:w="29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Interest / Role</w:t>
            </w:r>
          </w:p>
        </w:tc>
        <w:tc>
          <w:tcPr>
            <w:tcW w:type="dxa" w:w="14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Influence</w:t>
            </w:r>
          </w:p>
        </w:tc>
        <w:tc>
          <w:tcPr>
            <w:tcW w:type="dxa" w:w="31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Engagement Approach</w:t>
            </w:r>
          </w:p>
        </w:tc>
      </w:tr>
      <w:tr>
        <w:tc>
          <w:tcPr>
            <w:tcW w:type="dxa" w:w="19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Store Owner / GM</w:t>
            </w:r>
          </w:p>
        </w:tc>
        <w:tc>
          <w:tcPr>
            <w:tcW w:type="dxa" w:w="29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Budget approval, business risk owner</w:t>
            </w:r>
          </w:p>
        </w:tc>
        <w:tc>
          <w:tcPr>
            <w:tcW w:type="dxa" w:w="14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High</w:t>
            </w:r>
          </w:p>
        </w:tc>
        <w:tc>
          <w:tcPr>
            <w:tcW w:type="dxa" w:w="31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Weekly status briefing; sign-off at each phase gate</w:t>
            </w:r>
          </w:p>
        </w:tc>
      </w:tr>
      <w:tr>
        <w:tc>
          <w:tcPr>
            <w:tcW w:type="dxa" w:w="19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Store Manager</w:t>
            </w:r>
          </w:p>
        </w:tc>
        <w:tc>
          <w:tcPr>
            <w:tcW w:type="dxa" w:w="29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Day-to-day operations, staff scheduling around training/cutover</w:t>
            </w:r>
          </w:p>
        </w:tc>
        <w:tc>
          <w:tcPr>
            <w:tcW w:type="dxa" w:w="14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High</w:t>
            </w:r>
          </w:p>
        </w:tc>
        <w:tc>
          <w:tcPr>
            <w:tcW w:type="dxa" w:w="31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Bi-weekly planning syncs; primary point of contact for floor impact</w:t>
            </w:r>
          </w:p>
        </w:tc>
      </w:tr>
      <w:tr>
        <w:tc>
          <w:tcPr>
            <w:tcW w:type="dxa" w:w="19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Sales Associates</w:t>
            </w:r>
          </w:p>
        </w:tc>
        <w:tc>
          <w:tcPr>
            <w:tcW w:type="dxa" w:w="29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End users of new POS; customer-facing during transition</w:t>
            </w:r>
          </w:p>
        </w:tc>
        <w:tc>
          <w:tcPr>
            <w:tcW w:type="dxa" w:w="14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Medium</w:t>
            </w:r>
          </w:p>
        </w:tc>
        <w:tc>
          <w:tcPr>
            <w:tcW w:type="dxa" w:w="31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Hands-on training sessions; quick-reference guides; feedback channel</w:t>
            </w:r>
          </w:p>
        </w:tc>
      </w:tr>
      <w:tr>
        <w:tc>
          <w:tcPr>
            <w:tcW w:type="dxa" w:w="19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IT / POS Vendor</w:t>
            </w:r>
          </w:p>
        </w:tc>
        <w:tc>
          <w:tcPr>
            <w:tcW w:type="dxa" w:w="29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System configuration, data migration, technical support</w:t>
            </w:r>
          </w:p>
        </w:tc>
        <w:tc>
          <w:tcPr>
            <w:tcW w:type="dxa" w:w="14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High</w:t>
            </w:r>
          </w:p>
        </w:tc>
        <w:tc>
          <w:tcPr>
            <w:tcW w:type="dxa" w:w="31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Weekly technical check-ins; shared implementation tracker</w:t>
            </w:r>
          </w:p>
        </w:tc>
      </w:tr>
      <w:tr>
        <w:tc>
          <w:tcPr>
            <w:tcW w:type="dxa" w:w="19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Bookkeeper / Accountant</w:t>
            </w:r>
          </w:p>
        </w:tc>
        <w:tc>
          <w:tcPr>
            <w:tcW w:type="dxa" w:w="29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Ensures accounting system integration and financial continuity</w:t>
            </w:r>
          </w:p>
        </w:tc>
        <w:tc>
          <w:tcPr>
            <w:tcW w:type="dxa" w:w="14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Medium</w:t>
            </w:r>
          </w:p>
        </w:tc>
        <w:tc>
          <w:tcPr>
            <w:tcW w:type="dxa" w:w="31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Consulted during integration design and testing</w:t>
            </w:r>
          </w:p>
        </w:tc>
      </w:tr>
      <w:tr>
        <w:tc>
          <w:tcPr>
            <w:tcW w:type="dxa" w:w="19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Customers</w:t>
            </w:r>
          </w:p>
        </w:tc>
        <w:tc>
          <w:tcPr>
            <w:tcW w:type="dxa" w:w="29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Experience continuity at checkout; loyalty/account data integrity</w:t>
            </w:r>
          </w:p>
        </w:tc>
        <w:tc>
          <w:tcPr>
            <w:tcW w:type="dxa" w:w="14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Low (indirect)</w:t>
            </w:r>
          </w:p>
        </w:tc>
        <w:tc>
          <w:tcPr>
            <w:tcW w:type="dxa" w:w="31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Communicated via in-store signage ahead of any downtime</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3. RAID Log (Risks, Assumptions, Issues, Dependencies)</w:t>
      </w:r>
    </w:p>
    <w:p>
      <w:pPr>
        <w:spacing w:after="160"/>
      </w:pPr>
      <w:r>
        <w:rPr>
          <w:rFonts w:ascii="Calibri" w:cs="Calibri" w:eastAsia="Calibri" w:hAnsi="Calibri"/>
          <w:i w:val="false"/>
          <w:iCs w:val="false"/>
          <w:sz w:val="21"/>
          <w:szCs w:val="21"/>
        </w:rPr>
        <w:t xml:space="preserve">A living log used throughout the program to track and respond to risks proactively rather than reactively.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500"/>
        <w:gridCol w:w="1500"/>
        <w:gridCol w:w="2400"/>
      </w:tblGrid>
      <w:tr>
        <w:trPr>
          <w:tblHeader/>
        </w:trPr>
        <w:tc>
          <w:tcPr>
            <w:tcW w:type="dxa" w:w="12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Type</w:t>
            </w:r>
          </w:p>
        </w:tc>
        <w:tc>
          <w:tcPr>
            <w:tcW w:type="dxa" w:w="32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Description</w:t>
            </w:r>
          </w:p>
        </w:tc>
        <w:tc>
          <w:tcPr>
            <w:tcW w:type="dxa" w:w="15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Likelihood / Impact</w:t>
            </w:r>
          </w:p>
        </w:tc>
        <w:tc>
          <w:tcPr>
            <w:tcW w:type="dxa" w:w="15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Owner</w:t>
            </w:r>
          </w:p>
        </w:tc>
        <w:tc>
          <w:tcPr>
            <w:tcW w:type="dxa" w:w="24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Mitigation / Response</w:t>
            </w:r>
          </w:p>
        </w:tc>
      </w:tr>
      <w:tr>
        <w:tc>
          <w:tcPr>
            <w:tcW w:type="dxa" w:w="12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Risk</w:t>
            </w:r>
          </w:p>
        </w:tc>
        <w:tc>
          <w:tcPr>
            <w:tcW w:type="dxa" w:w="32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High-value inventory miscounted during data migration, creating shrinkage/insurance discrepancies</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Medium / High</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Program Manager</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Full physical inventory count before and after migration; reconcile against system export before go-live</w:t>
            </w:r>
          </w:p>
        </w:tc>
      </w:tr>
      <w:tr>
        <w:tc>
          <w:tcPr>
            <w:tcW w:type="dxa" w:w="12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Risk</w:t>
            </w:r>
          </w:p>
        </w:tc>
        <w:tc>
          <w:tcPr>
            <w:tcW w:type="dxa" w:w="32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POS downtime during cutover disrupts sales on a peak business day</w:t>
            </w:r>
          </w:p>
        </w:tc>
        <w:tc>
          <w:tcPr>
            <w:tcW w:type="dxa" w:w="15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Medium / High</w:t>
            </w:r>
          </w:p>
        </w:tc>
        <w:tc>
          <w:tcPr>
            <w:tcW w:type="dxa" w:w="15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IT Vendor</w:t>
            </w:r>
          </w:p>
        </w:tc>
        <w:tc>
          <w:tcPr>
            <w:tcW w:type="dxa" w:w="24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Schedule cutover for lowest-traffic day/time; maintain manual backup transaction process for up to 4 hours</w:t>
            </w:r>
          </w:p>
        </w:tc>
      </w:tr>
      <w:tr>
        <w:tc>
          <w:tcPr>
            <w:tcW w:type="dxa" w:w="12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Risk</w:t>
            </w:r>
          </w:p>
        </w:tc>
        <w:tc>
          <w:tcPr>
            <w:tcW w:type="dxa" w:w="32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Staff resistance/errors using new system under live customer pressure</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Medium / Medium</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Store Manager</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Hands-on training with real scenarios; on-floor support during first week live</w:t>
            </w:r>
          </w:p>
        </w:tc>
      </w:tr>
      <w:tr>
        <w:tc>
          <w:tcPr>
            <w:tcW w:type="dxa" w:w="12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Assumption</w:t>
            </w:r>
          </w:p>
        </w:tc>
        <w:tc>
          <w:tcPr>
            <w:tcW w:type="dxa" w:w="32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Vendor's data migration tool supports direct import from legacy system format</w:t>
            </w:r>
          </w:p>
        </w:tc>
        <w:tc>
          <w:tcPr>
            <w:tcW w:type="dxa" w:w="15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w:t>
            </w:r>
          </w:p>
        </w:tc>
        <w:tc>
          <w:tcPr>
            <w:tcW w:type="dxa" w:w="15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IT Vendor</w:t>
            </w:r>
          </w:p>
        </w:tc>
        <w:tc>
          <w:tcPr>
            <w:tcW w:type="dxa" w:w="24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Confirmed via vendor discovery call; sample migration test scheduled pre-launch</w:t>
            </w:r>
          </w:p>
        </w:tc>
      </w:tr>
      <w:tr>
        <w:tc>
          <w:tcPr>
            <w:tcW w:type="dxa" w:w="12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Assumption</w:t>
            </w:r>
          </w:p>
        </w:tc>
        <w:tc>
          <w:tcPr>
            <w:tcW w:type="dxa" w:w="32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Store can absorb a short evening closure for final cutover without material revenue loss</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Store Owner / GM</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Validated against historical low-traffic hours</w:t>
            </w:r>
          </w:p>
        </w:tc>
      </w:tr>
      <w:tr>
        <w:tc>
          <w:tcPr>
            <w:tcW w:type="dxa" w:w="12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Issue</w:t>
            </w:r>
          </w:p>
        </w:tc>
        <w:tc>
          <w:tcPr>
            <w:tcW w:type="dxa" w:w="32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Example: accounting software integration required a paid add-on not in original vendor quote</w:t>
            </w:r>
          </w:p>
        </w:tc>
        <w:tc>
          <w:tcPr>
            <w:tcW w:type="dxa" w:w="15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w:t>
            </w:r>
          </w:p>
        </w:tc>
        <w:tc>
          <w:tcPr>
            <w:tcW w:type="dxa" w:w="15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Program Manager</w:t>
            </w:r>
          </w:p>
        </w:tc>
        <w:tc>
          <w:tcPr>
            <w:tcW w:type="dxa" w:w="24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Renegotiated scope; absorbed via contingency budget</w:t>
            </w:r>
          </w:p>
        </w:tc>
      </w:tr>
      <w:tr>
        <w:tc>
          <w:tcPr>
            <w:tcW w:type="dxa" w:w="12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Dependency</w:t>
            </w:r>
          </w:p>
        </w:tc>
        <w:tc>
          <w:tcPr>
            <w:tcW w:type="dxa" w:w="32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Staff training must be complete before go-live</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w:t>
            </w:r>
          </w:p>
        </w:tc>
        <w:tc>
          <w:tcPr>
            <w:tcW w:type="dxa" w:w="15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Store Manager</w:t>
            </w:r>
          </w:p>
        </w:tc>
        <w:tc>
          <w:tcPr>
            <w:tcW w:type="dxa" w:w="24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Training scheduled in final 2 weeks pre-launch; attendance tracked</w:t>
            </w:r>
          </w:p>
        </w:tc>
      </w:tr>
      <w:tr>
        <w:tc>
          <w:tcPr>
            <w:tcW w:type="dxa" w:w="12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Dependency</w:t>
            </w:r>
          </w:p>
        </w:tc>
        <w:tc>
          <w:tcPr>
            <w:tcW w:type="dxa" w:w="32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New hardware delivery must precede configuration and testing</w:t>
            </w:r>
          </w:p>
        </w:tc>
        <w:tc>
          <w:tcPr>
            <w:tcW w:type="dxa" w:w="15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w:t>
            </w:r>
          </w:p>
        </w:tc>
        <w:tc>
          <w:tcPr>
            <w:tcW w:type="dxa" w:w="15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IT Vendor</w:t>
            </w:r>
          </w:p>
        </w:tc>
        <w:tc>
          <w:tcPr>
            <w:tcW w:type="dxa" w:w="24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Hardware ordered with 3-week buffer before configuration start</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4. Budget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800"/>
      </w:tblGrid>
      <w:tr>
        <w:trPr>
          <w:tblHeader/>
        </w:trPr>
        <w:tc>
          <w:tcPr>
            <w:tcW w:type="dxa" w:w="28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Category</w:t>
            </w:r>
          </w:p>
        </w:tc>
        <w:tc>
          <w:tcPr>
            <w:tcW w:type="dxa" w:w="16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Planned</w:t>
            </w:r>
          </w:p>
        </w:tc>
        <w:tc>
          <w:tcPr>
            <w:tcW w:type="dxa" w:w="16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Actual</w:t>
            </w:r>
          </w:p>
        </w:tc>
        <w:tc>
          <w:tcPr>
            <w:tcW w:type="dxa" w:w="38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Notes</w:t>
            </w:r>
          </w:p>
        </w:tc>
      </w:tr>
      <w:tr>
        <w:tc>
          <w:tcPr>
            <w:tcW w:type="dxa" w:w="28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POS hardware (registers, scanners, card readers)</w:t>
            </w:r>
          </w:p>
        </w:tc>
        <w:tc>
          <w:tcPr>
            <w:tcW w:type="dxa" w:w="16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$9,500</w:t>
            </w:r>
          </w:p>
        </w:tc>
        <w:tc>
          <w:tcPr>
            <w:tcW w:type="dxa" w:w="16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$9,800</w:t>
            </w:r>
          </w:p>
        </w:tc>
        <w:tc>
          <w:tcPr>
            <w:tcW w:type="dxa" w:w="38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Added a backup card reader for redundancy</w:t>
            </w:r>
          </w:p>
        </w:tc>
      </w:tr>
      <w:tr>
        <w:tc>
          <w:tcPr>
            <w:tcW w:type="dxa" w:w="28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Software licensing (annual, cloud platform)</w:t>
            </w:r>
          </w:p>
        </w:tc>
        <w:tc>
          <w:tcPr>
            <w:tcW w:type="dxa" w:w="16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$6,000</w:t>
            </w:r>
          </w:p>
        </w:tc>
        <w:tc>
          <w:tcPr>
            <w:tcW w:type="dxa" w:w="16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$6,000</w:t>
            </w:r>
          </w:p>
        </w:tc>
        <w:tc>
          <w:tcPr>
            <w:tcW w:type="dxa" w:w="38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On budget</w:t>
            </w:r>
          </w:p>
        </w:tc>
      </w:tr>
      <w:tr>
        <w:tc>
          <w:tcPr>
            <w:tcW w:type="dxa" w:w="28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Data migration &amp; vendor implementation services</w:t>
            </w:r>
          </w:p>
        </w:tc>
        <w:tc>
          <w:tcPr>
            <w:tcW w:type="dxa" w:w="16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$8,000</w:t>
            </w:r>
          </w:p>
        </w:tc>
        <w:tc>
          <w:tcPr>
            <w:tcW w:type="dxa" w:w="16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$9,200</w:t>
            </w:r>
          </w:p>
        </w:tc>
        <w:tc>
          <w:tcPr>
            <w:tcW w:type="dxa" w:w="38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Accounting integration add-on (see Issue log)</w:t>
            </w:r>
          </w:p>
        </w:tc>
      </w:tr>
      <w:tr>
        <w:tc>
          <w:tcPr>
            <w:tcW w:type="dxa" w:w="28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Staff training</w:t>
            </w:r>
          </w:p>
        </w:tc>
        <w:tc>
          <w:tcPr>
            <w:tcW w:type="dxa" w:w="16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$2,500</w:t>
            </w:r>
          </w:p>
        </w:tc>
        <w:tc>
          <w:tcPr>
            <w:tcW w:type="dxa" w:w="16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$2,300</w:t>
            </w:r>
          </w:p>
        </w:tc>
        <w:tc>
          <w:tcPr>
            <w:tcW w:type="dxa" w:w="38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Delivered in-house with vendor-provided materials</w:t>
            </w:r>
          </w:p>
        </w:tc>
      </w:tr>
      <w:tr>
        <w:tc>
          <w:tcPr>
            <w:tcW w:type="dxa" w:w="28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Marketing / customer communication (signage, notices)</w:t>
            </w:r>
          </w:p>
        </w:tc>
        <w:tc>
          <w:tcPr>
            <w:tcW w:type="dxa" w:w="16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$800</w:t>
            </w:r>
          </w:p>
        </w:tc>
        <w:tc>
          <w:tcPr>
            <w:tcW w:type="dxa" w:w="16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$650</w:t>
            </w:r>
          </w:p>
        </w:tc>
        <w:tc>
          <w:tcPr>
            <w:tcW w:type="dxa" w:w="38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On budget</w:t>
            </w:r>
          </w:p>
        </w:tc>
      </w:tr>
      <w:tr>
        <w:tc>
          <w:tcPr>
            <w:tcW w:type="dxa" w:w="28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Contingency (10%)</w:t>
            </w:r>
          </w:p>
        </w:tc>
        <w:tc>
          <w:tcPr>
            <w:tcW w:type="dxa" w:w="16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$3,850</w:t>
            </w:r>
          </w:p>
        </w:tc>
        <w:tc>
          <w:tcPr>
            <w:tcW w:type="dxa" w:w="16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$1,900</w:t>
            </w:r>
          </w:p>
        </w:tc>
        <w:tc>
          <w:tcPr>
            <w:tcW w:type="dxa" w:w="38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Partially used to cover integration add-on</w:t>
            </w:r>
          </w:p>
        </w:tc>
      </w:tr>
      <w:tr>
        <w:tc>
          <w:tcPr>
            <w:tcW w:type="dxa" w:w="28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TOTAL</w:t>
            </w:r>
          </w:p>
        </w:tc>
        <w:tc>
          <w:tcPr>
            <w:tcW w:type="dxa" w:w="16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$38,500 (incl. contingency: est. above)</w:t>
            </w:r>
          </w:p>
        </w:tc>
        <w:tc>
          <w:tcPr>
            <w:tcW w:type="dxa" w:w="16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$29,850</w:t>
            </w:r>
          </w:p>
        </w:tc>
        <w:tc>
          <w:tcPr>
            <w:tcW w:type="dxa" w:w="38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Actuals reflect committed spend through go-live</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5. Communications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4400"/>
      </w:tblGrid>
      <w:tr>
        <w:trPr>
          <w:tblHeader/>
        </w:trPr>
        <w:tc>
          <w:tcPr>
            <w:tcW w:type="dxa" w:w="20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Audience</w:t>
            </w:r>
          </w:p>
        </w:tc>
        <w:tc>
          <w:tcPr>
            <w:tcW w:type="dxa" w:w="18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Channel</w:t>
            </w:r>
          </w:p>
        </w:tc>
        <w:tc>
          <w:tcPr>
            <w:tcW w:type="dxa" w:w="16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Frequency</w:t>
            </w:r>
          </w:p>
        </w:tc>
        <w:tc>
          <w:tcPr>
            <w:tcW w:type="dxa" w:w="4400"/>
            <w:shd w:fill="1F3864"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Content</w:t>
            </w:r>
          </w:p>
        </w:tc>
      </w:tr>
      <w:tr>
        <w:tc>
          <w:tcPr>
            <w:tcW w:type="dxa" w:w="20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Store Owner / GM</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In-person / email status report</w:t>
            </w:r>
          </w:p>
        </w:tc>
        <w:tc>
          <w:tcPr>
            <w:tcW w:type="dxa" w:w="16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Weekly</w:t>
            </w:r>
          </w:p>
        </w:tc>
        <w:tc>
          <w:tcPr>
            <w:tcW w:type="dxa" w:w="44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Overall status, budget, risks, decisions needed</w:t>
            </w:r>
          </w:p>
        </w:tc>
      </w:tr>
      <w:tr>
        <w:tc>
          <w:tcPr>
            <w:tcW w:type="dxa" w:w="20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Store Manager</w:t>
            </w:r>
          </w:p>
        </w:tc>
        <w:tc>
          <w:tcPr>
            <w:tcW w:type="dxa" w:w="18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In-person planning sync</w:t>
            </w:r>
          </w:p>
        </w:tc>
        <w:tc>
          <w:tcPr>
            <w:tcW w:type="dxa" w:w="16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Bi-weekly, weekly closer to go-live</w:t>
            </w:r>
          </w:p>
        </w:tc>
        <w:tc>
          <w:tcPr>
            <w:tcW w:type="dxa" w:w="44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Schedule coordination, training logistics, floor impact</w:t>
            </w:r>
          </w:p>
        </w:tc>
      </w:tr>
      <w:tr>
        <w:tc>
          <w:tcPr>
            <w:tcW w:type="dxa" w:w="20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Sales Associates</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Team huddle + printed quick-reference guide</w:t>
            </w:r>
          </w:p>
        </w:tc>
        <w:tc>
          <w:tcPr>
            <w:tcW w:type="dxa" w:w="16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At training, then daily during go-live week</w:t>
            </w:r>
          </w:p>
        </w:tc>
        <w:tc>
          <w:tcPr>
            <w:tcW w:type="dxa" w:w="44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How-to guidance, escalation path for issues</w:t>
            </w:r>
          </w:p>
        </w:tc>
      </w:tr>
      <w:tr>
        <w:tc>
          <w:tcPr>
            <w:tcW w:type="dxa" w:w="20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IT / POS Vendor</w:t>
            </w:r>
          </w:p>
        </w:tc>
        <w:tc>
          <w:tcPr>
            <w:tcW w:type="dxa" w:w="18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Shared tracker + call</w:t>
            </w:r>
          </w:p>
        </w:tc>
        <w:tc>
          <w:tcPr>
            <w:tcW w:type="dxa" w:w="16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Weekly</w:t>
            </w:r>
          </w:p>
        </w:tc>
        <w:tc>
          <w:tcPr>
            <w:tcW w:type="dxa" w:w="4400"/>
            <w:shd w:fill="F2F2F2" w:val="clear"/>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Technical milestones, blockers, testing results</w:t>
            </w:r>
          </w:p>
        </w:tc>
      </w:tr>
      <w:tr>
        <w:tc>
          <w:tcPr>
            <w:tcW w:type="dxa" w:w="20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Customers</w:t>
            </w:r>
          </w:p>
        </w:tc>
        <w:tc>
          <w:tcPr>
            <w:tcW w:type="dxa" w:w="18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In-store signage</w:t>
            </w:r>
          </w:p>
        </w:tc>
        <w:tc>
          <w:tcPr>
            <w:tcW w:type="dxa" w:w="16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1 week before + day of cutover</w:t>
            </w:r>
          </w:p>
        </w:tc>
        <w:tc>
          <w:tcPr>
            <w:tcW w:type="dxa" w:w="4400"/>
            <w:tcMar>
              <w:top w:type="dxa" w:w="80"/>
              <w:left w:type="dxa" w:w="100"/>
              <w:bottom w:type="dxa" w:w="80"/>
              <w:right w:type="dxa" w:w="100"/>
            </w:tcMar>
          </w:tcPr>
          <w:p>
            <w:pPr>
              <w:spacing w:after="0"/>
            </w:pPr>
            <w:r>
              <w:rPr>
                <w:rFonts w:ascii="Calibri" w:cs="Calibri" w:eastAsia="Calibri" w:hAnsi="Calibri"/>
                <w:b w:val="false"/>
                <w:bCs w:val="false"/>
                <w:color w:val="000000"/>
                <w:sz w:val="19"/>
                <w:szCs w:val="19"/>
              </w:rPr>
              <w:t xml:space="preserve">Advance notice of any brief service changes</w:t>
            </w:r>
          </w:p>
        </w:tc>
      </w:tr>
    </w:tbl>
    <w:p>
      <w:pPr>
        <w:pStyle w:val="Heading1"/>
        <w:pBdr>
          <w:bottom w:val="single" w:color="1F3864" w:sz="6" w:space="4"/>
        </w:pBdr>
        <w:spacing w:after="160" w:before="360"/>
      </w:pPr>
      <w:r>
        <w:rPr>
          <w:rFonts w:ascii="Calibri" w:cs="Calibri" w:eastAsia="Calibri" w:hAnsi="Calibri"/>
          <w:b/>
          <w:bCs/>
          <w:color w:val="1F3864"/>
          <w:sz w:val="30"/>
          <w:szCs w:val="30"/>
        </w:rPr>
        <w:t xml:space="preserve">6. Post-Launch Review</w:t>
      </w:r>
    </w:p>
    <w:p>
      <w:pPr>
        <w:pStyle w:val="Heading2"/>
        <w:spacing w:after="120" w:before="240"/>
      </w:pPr>
      <w:r>
        <w:rPr>
          <w:rFonts w:ascii="Calibri" w:cs="Calibri" w:eastAsia="Calibri" w:hAnsi="Calibri"/>
          <w:b/>
          <w:bCs/>
          <w:color w:val="1F3864"/>
          <w:sz w:val="24"/>
          <w:szCs w:val="24"/>
        </w:rPr>
        <w:t xml:space="preserve">Outcomes</w:t>
      </w:r>
    </w:p>
    <w:p>
      <w:pPr>
        <w:pStyle w:val="ListParagraph"/>
        <w:numPr>
          <w:ilvl w:val="0"/>
          <w:numId w:val="2"/>
        </w:numPr>
        <w:spacing w:after="80"/>
      </w:pPr>
      <w:r>
        <w:rPr>
          <w:rFonts w:ascii="Calibri" w:cs="Calibri" w:eastAsia="Calibri" w:hAnsi="Calibri"/>
          <w:sz w:val="21"/>
          <w:szCs w:val="21"/>
        </w:rPr>
        <w:t xml:space="preserve">Inventory data migrated with 99.7% accuracy on first reconciliation, corrected to 100% within 48 hours.</w:t>
      </w:r>
    </w:p>
    <w:p>
      <w:pPr>
        <w:pStyle w:val="ListParagraph"/>
        <w:numPr>
          <w:ilvl w:val="0"/>
          <w:numId w:val="2"/>
        </w:numPr>
        <w:spacing w:after="80"/>
      </w:pPr>
      <w:r>
        <w:rPr>
          <w:rFonts w:ascii="Calibri" w:cs="Calibri" w:eastAsia="Calibri" w:hAnsi="Calibri"/>
          <w:sz w:val="21"/>
          <w:szCs w:val="21"/>
        </w:rPr>
        <w:t xml:space="preserve">Cutover completed in 3.5 hours during a scheduled evening closure, ahead of the 4-hour target.</w:t>
      </w:r>
    </w:p>
    <w:p>
      <w:pPr>
        <w:pStyle w:val="ListParagraph"/>
        <w:numPr>
          <w:ilvl w:val="0"/>
          <w:numId w:val="2"/>
        </w:numPr>
        <w:spacing w:after="80"/>
      </w:pPr>
      <w:r>
        <w:rPr>
          <w:rFonts w:ascii="Calibri" w:cs="Calibri" w:eastAsia="Calibri" w:hAnsi="Calibri"/>
          <w:sz w:val="21"/>
          <w:szCs w:val="21"/>
        </w:rPr>
        <w:t xml:space="preserve">Manual reconciliation time dropped from roughly 5 hours/week to under 1 hour/week.</w:t>
      </w:r>
    </w:p>
    <w:p>
      <w:pPr>
        <w:pStyle w:val="ListParagraph"/>
        <w:numPr>
          <w:ilvl w:val="0"/>
          <w:numId w:val="2"/>
        </w:numPr>
        <w:spacing w:after="80"/>
      </w:pPr>
      <w:r>
        <w:rPr>
          <w:rFonts w:ascii="Calibri" w:cs="Calibri" w:eastAsia="Calibri" w:hAnsi="Calibri"/>
          <w:sz w:val="21"/>
          <w:szCs w:val="21"/>
        </w:rPr>
        <w:t xml:space="preserve">All sales staff completed training and passed a post-training proficiency check before go-live.</w:t>
      </w:r>
    </w:p>
    <w:p>
      <w:pPr>
        <w:pStyle w:val="Heading2"/>
        <w:spacing w:after="120" w:before="240"/>
      </w:pPr>
      <w:r>
        <w:rPr>
          <w:rFonts w:ascii="Calibri" w:cs="Calibri" w:eastAsia="Calibri" w:hAnsi="Calibri"/>
          <w:b/>
          <w:bCs/>
          <w:color w:val="1F3864"/>
          <w:sz w:val="24"/>
          <w:szCs w:val="24"/>
        </w:rPr>
        <w:t xml:space="preserve">What Went Well</w:t>
      </w:r>
    </w:p>
    <w:p>
      <w:pPr>
        <w:pStyle w:val="ListParagraph"/>
        <w:numPr>
          <w:ilvl w:val="0"/>
          <w:numId w:val="2"/>
        </w:numPr>
        <w:spacing w:after="80"/>
      </w:pPr>
      <w:r>
        <w:rPr>
          <w:rFonts w:ascii="Calibri" w:cs="Calibri" w:eastAsia="Calibri" w:hAnsi="Calibri"/>
          <w:sz w:val="21"/>
          <w:szCs w:val="21"/>
        </w:rPr>
        <w:t xml:space="preserve">Early, hands-on staff training reduced errors and resistance during the first week live.</w:t>
      </w:r>
    </w:p>
    <w:p>
      <w:pPr>
        <w:pStyle w:val="ListParagraph"/>
        <w:numPr>
          <w:ilvl w:val="0"/>
          <w:numId w:val="2"/>
        </w:numPr>
        <w:spacing w:after="80"/>
      </w:pPr>
      <w:r>
        <w:rPr>
          <w:rFonts w:ascii="Calibri" w:cs="Calibri" w:eastAsia="Calibri" w:hAnsi="Calibri"/>
          <w:sz w:val="21"/>
          <w:szCs w:val="21"/>
        </w:rPr>
        <w:t xml:space="preserve">Scheduling cutover during a low-traffic evening avoided any customer-facing disruption.</w:t>
      </w:r>
    </w:p>
    <w:p>
      <w:pPr>
        <w:pStyle w:val="ListParagraph"/>
        <w:numPr>
          <w:ilvl w:val="0"/>
          <w:numId w:val="2"/>
        </w:numPr>
        <w:spacing w:after="80"/>
      </w:pPr>
      <w:r>
        <w:rPr>
          <w:rFonts w:ascii="Calibri" w:cs="Calibri" w:eastAsia="Calibri" w:hAnsi="Calibri"/>
          <w:sz w:val="21"/>
          <w:szCs w:val="21"/>
        </w:rPr>
        <w:t xml:space="preserve">Weekly vendor check-ins caught the accounting integration gap early enough to resolve without delaying go-live.</w:t>
      </w:r>
    </w:p>
    <w:p>
      <w:pPr>
        <w:pStyle w:val="Heading2"/>
        <w:spacing w:after="120" w:before="240"/>
      </w:pPr>
      <w:r>
        <w:rPr>
          <w:rFonts w:ascii="Calibri" w:cs="Calibri" w:eastAsia="Calibri" w:hAnsi="Calibri"/>
          <w:b/>
          <w:bCs/>
          <w:color w:val="1F3864"/>
          <w:sz w:val="24"/>
          <w:szCs w:val="24"/>
        </w:rPr>
        <w:t xml:space="preserve">Lessons Learned</w:t>
      </w:r>
    </w:p>
    <w:p>
      <w:pPr>
        <w:pStyle w:val="ListParagraph"/>
        <w:numPr>
          <w:ilvl w:val="0"/>
          <w:numId w:val="2"/>
        </w:numPr>
        <w:spacing w:after="80"/>
      </w:pPr>
      <w:r>
        <w:rPr>
          <w:rFonts w:ascii="Calibri" w:cs="Calibri" w:eastAsia="Calibri" w:hAnsi="Calibri"/>
          <w:sz w:val="21"/>
          <w:szCs w:val="21"/>
        </w:rPr>
        <w:t xml:space="preserve">Get a fully itemized vendor quote — including third-party integrations — before finalizing budget, to avoid late-stage scope surprises.</w:t>
      </w:r>
    </w:p>
    <w:p>
      <w:pPr>
        <w:pStyle w:val="ListParagraph"/>
        <w:numPr>
          <w:ilvl w:val="0"/>
          <w:numId w:val="2"/>
        </w:numPr>
        <w:spacing w:after="80"/>
      </w:pPr>
      <w:r>
        <w:rPr>
          <w:rFonts w:ascii="Calibri" w:cs="Calibri" w:eastAsia="Calibri" w:hAnsi="Calibri"/>
          <w:sz w:val="21"/>
          <w:szCs w:val="21"/>
        </w:rPr>
        <w:t xml:space="preserve">Build in a buffer week between final training and go-live to reinforce learning without losing momentum.</w:t>
      </w:r>
    </w:p>
    <w:p>
      <w:pPr>
        <w:pStyle w:val="ListParagraph"/>
        <w:numPr>
          <w:ilvl w:val="0"/>
          <w:numId w:val="2"/>
        </w:numPr>
        <w:spacing w:after="80"/>
      </w:pPr>
      <w:r>
        <w:rPr>
          <w:rFonts w:ascii="Calibri" w:cs="Calibri" w:eastAsia="Calibri" w:hAnsi="Calibri"/>
          <w:sz w:val="21"/>
          <w:szCs w:val="21"/>
        </w:rPr>
        <w:t xml:space="preserve">A pre- and post-migration full inventory count should be standard practice for any system change touching high-value stock.</w:t>
      </w:r>
    </w:p>
    <w:p>
      <w:pPr>
        <w:pStyle w:val="Heading2"/>
        <w:spacing w:after="120" w:before="240"/>
      </w:pPr>
      <w:r>
        <w:rPr>
          <w:rFonts w:ascii="Calibri" w:cs="Calibri" w:eastAsia="Calibri" w:hAnsi="Calibri"/>
          <w:b/>
          <w:bCs/>
          <w:color w:val="1F3864"/>
          <w:sz w:val="24"/>
          <w:szCs w:val="24"/>
        </w:rPr>
        <w:t xml:space="preserve">Next Steps</w:t>
      </w:r>
    </w:p>
    <w:p>
      <w:pPr>
        <w:spacing w:after="160"/>
      </w:pPr>
      <w:r>
        <w:rPr>
          <w:rFonts w:ascii="Calibri" w:cs="Calibri" w:eastAsia="Calibri" w:hAnsi="Calibri"/>
          <w:i w:val="false"/>
          <w:iCs w:val="false"/>
          <w:sz w:val="21"/>
          <w:szCs w:val="21"/>
        </w:rPr>
        <w:t xml:space="preserve">Recommended as a Phase 2 candidate: extend the platform to additional store locations, incorporating the lessons above into a reusable rollout playbook.</w:t>
      </w:r>
    </w:p>
    <w:p>
      <w:pPr>
        <w:pStyle w:val="Heading1"/>
        <w:pBdr>
          <w:bottom w:val="single" w:color="1F3864" w:sz="6" w:space="4"/>
        </w:pBdr>
        <w:spacing w:after="160" w:before="360"/>
      </w:pPr>
      <w:r>
        <w:rPr>
          <w:rFonts w:ascii="Calibri" w:cs="Calibri" w:eastAsia="Calibri" w:hAnsi="Calibri"/>
          <w:b/>
          <w:bCs/>
          <w:color w:val="1F3864"/>
          <w:sz w:val="30"/>
          <w:szCs w:val="30"/>
        </w:rPr>
        <w:t xml:space="preserve">7. Program Management Skills Demonstrated</w:t>
      </w:r>
    </w:p>
    <w:p>
      <w:pPr>
        <w:pStyle w:val="ListParagraph"/>
        <w:numPr>
          <w:ilvl w:val="0"/>
          <w:numId w:val="2"/>
        </w:numPr>
        <w:spacing w:after="80"/>
      </w:pPr>
      <w:r>
        <w:rPr>
          <w:rFonts w:ascii="Calibri" w:cs="Calibri" w:eastAsia="Calibri" w:hAnsi="Calibri"/>
          <w:sz w:val="21"/>
          <w:szCs w:val="21"/>
        </w:rPr>
        <w:t xml:space="preserve">Project chartering and scope definition</w:t>
      </w:r>
    </w:p>
    <w:p>
      <w:pPr>
        <w:pStyle w:val="ListParagraph"/>
        <w:numPr>
          <w:ilvl w:val="0"/>
          <w:numId w:val="2"/>
        </w:numPr>
        <w:spacing w:after="80"/>
      </w:pPr>
      <w:r>
        <w:rPr>
          <w:rFonts w:ascii="Calibri" w:cs="Calibri" w:eastAsia="Calibri" w:hAnsi="Calibri"/>
          <w:sz w:val="21"/>
          <w:szCs w:val="21"/>
        </w:rPr>
        <w:t xml:space="preserve">Stakeholder analysis and engagement planning</w:t>
      </w:r>
    </w:p>
    <w:p>
      <w:pPr>
        <w:pStyle w:val="ListParagraph"/>
        <w:numPr>
          <w:ilvl w:val="0"/>
          <w:numId w:val="2"/>
        </w:numPr>
        <w:spacing w:after="80"/>
      </w:pPr>
      <w:r>
        <w:rPr>
          <w:rFonts w:ascii="Calibri" w:cs="Calibri" w:eastAsia="Calibri" w:hAnsi="Calibri"/>
          <w:sz w:val="21"/>
          <w:szCs w:val="21"/>
        </w:rPr>
        <w:t xml:space="preserve">Risk, assumption, issue, and dependency management (RAID)</w:t>
      </w:r>
    </w:p>
    <w:p>
      <w:pPr>
        <w:pStyle w:val="ListParagraph"/>
        <w:numPr>
          <w:ilvl w:val="0"/>
          <w:numId w:val="2"/>
        </w:numPr>
        <w:spacing w:after="80"/>
      </w:pPr>
      <w:r>
        <w:rPr>
          <w:rFonts w:ascii="Calibri" w:cs="Calibri" w:eastAsia="Calibri" w:hAnsi="Calibri"/>
          <w:sz w:val="21"/>
          <w:szCs w:val="21"/>
        </w:rPr>
        <w:t xml:space="preserve">Budget planning and variance tracking</w:t>
      </w:r>
    </w:p>
    <w:p>
      <w:pPr>
        <w:pStyle w:val="ListParagraph"/>
        <w:numPr>
          <w:ilvl w:val="0"/>
          <w:numId w:val="2"/>
        </w:numPr>
        <w:spacing w:after="80"/>
      </w:pPr>
      <w:r>
        <w:rPr>
          <w:rFonts w:ascii="Calibri" w:cs="Calibri" w:eastAsia="Calibri" w:hAnsi="Calibri"/>
          <w:sz w:val="21"/>
          <w:szCs w:val="21"/>
        </w:rPr>
        <w:t xml:space="preserve">Change management and staff enablement</w:t>
      </w:r>
    </w:p>
    <w:p>
      <w:pPr>
        <w:pStyle w:val="ListParagraph"/>
        <w:numPr>
          <w:ilvl w:val="0"/>
          <w:numId w:val="2"/>
        </w:numPr>
        <w:spacing w:after="80"/>
      </w:pPr>
      <w:r>
        <w:rPr>
          <w:rFonts w:ascii="Calibri" w:cs="Calibri" w:eastAsia="Calibri" w:hAnsi="Calibri"/>
          <w:sz w:val="21"/>
          <w:szCs w:val="21"/>
        </w:rPr>
        <w:t xml:space="preserve">Vendor coordination</w:t>
      </w:r>
    </w:p>
    <w:p>
      <w:pPr>
        <w:pStyle w:val="ListParagraph"/>
        <w:numPr>
          <w:ilvl w:val="0"/>
          <w:numId w:val="2"/>
        </w:numPr>
        <w:spacing w:after="80"/>
      </w:pPr>
      <w:r>
        <w:rPr>
          <w:rFonts w:ascii="Calibri" w:cs="Calibri" w:eastAsia="Calibri" w:hAnsi="Calibri"/>
          <w:sz w:val="21"/>
          <w:szCs w:val="21"/>
        </w:rPr>
        <w:t xml:space="preserve">Post-launch evaluation and continuous improvement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POS &amp; Inventory Migration — Program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2026-07-12T03:46:59.690Z</dcterms:created>
  <dcterms:modified xsi:type="dcterms:W3CDTF">2026-07-12T03:46:59.702Z</dcterms:modified>
</cp:coreProperties>
</file>

<file path=docProps/custom.xml><?xml version="1.0" encoding="utf-8"?>
<Properties xmlns="http://schemas.openxmlformats.org/officeDocument/2006/custom-properties" xmlns:vt="http://schemas.openxmlformats.org/officeDocument/2006/docPropsVTypes"/>
</file>