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before="600" w:line="900" w:lineRule="atLeast"/>
        <w:jc w:val="center"/>
      </w:pPr>
      <w:r>
        <w:rPr>
          <w:rFonts w:ascii="Times New Roman" w:eastAsia="SimHei"/>
          <w:b/>
          <w:bCs/>
          <w:color w:val="529286"/>
          <w:sz w:val="72"/>
          <w:szCs w:val="72"/>
        </w:rPr>
        <w:t xml:space="preserve">NISAAP</w:t>
      </w:r>
    </w:p>
    <w:p>
      <w:pPr>
        <w:spacing w:after="400" w:before="100" w:line="600" w:lineRule="atLeast"/>
        <w:jc w:val="center"/>
      </w:pPr>
      <w:r>
        <w:rPr>
          <w:rFonts w:ascii="Times New Roman" w:eastAsia="SimHei"/>
          <w:b/>
          <w:bCs/>
          <w:color w:val="0B1C2C"/>
          <w:sz w:val="40"/>
          <w:szCs w:val="40"/>
        </w:rPr>
        <w:t xml:space="preserve">User Credentials Document</w:t>
      </w:r>
    </w:p>
    <w:p>
      <w:pPr>
        <w:spacing w:after="100" w:before="200"/>
        <w:jc w:val="center"/>
      </w:pPr>
      <w:r>
        <w:rPr>
          <w:rFonts w:ascii="Calibri" w:eastAsia="Microsoft YaHei"/>
          <w:color w:val="5B6B7D"/>
          <w:sz w:val="24"/>
          <w:szCs w:val="24"/>
        </w:rPr>
        <w:t xml:space="preserve">IoT Security Assessment Platform</w:t>
      </w:r>
    </w:p>
    <w:p>
      <w:pPr>
        <w:pBdr>
          <w:top w:val="single" w:color="529286" w:sz="6" w:space="20"/>
        </w:pBdr>
        <w:spacing w:before="800"/>
        <w:ind w:left="2500" w:right="2500"/>
        <w:jc w:val="center"/>
      </w:pPr>
    </w:p>
    <w:p>
      <w:pPr>
        <w:spacing w:after="100" w:before="400"/>
        <w:jc w:val="center"/>
      </w:pPr>
      <w:r>
        <w:rPr>
          <w:rFonts w:ascii="Times New Roman" w:eastAsia="SimHei"/>
          <w:b/>
          <w:bCs/>
          <w:color w:val="C0392B"/>
          <w:sz w:val="28"/>
          <w:szCs w:val="28"/>
        </w:rPr>
        <w:t xml:space="preserve">CONFIDENTIAL</w:t>
      </w:r>
    </w:p>
    <w:p>
      <w:pPr>
        <w:spacing w:after="100" w:before="100"/>
        <w:jc w:val="center"/>
      </w:pPr>
      <w:r>
        <w:rPr>
          <w:rFonts w:ascii="Calibri" w:eastAsia="Microsoft YaHei"/>
          <w:color w:val="5B6B7D"/>
          <w:sz w:val="20"/>
          <w:szCs w:val="20"/>
        </w:rPr>
        <w:t xml:space="preserve">This document contains sensitive authentication credentials.</w:t>
      </w:r>
    </w:p>
    <w:p>
      <w:pPr>
        <w:spacing w:before="50"/>
        <w:jc w:val="center"/>
      </w:pPr>
      <w:r>
        <w:rPr>
          <w:rFonts w:ascii="Calibri" w:eastAsia="Microsoft YaHei"/>
          <w:color w:val="5B6B7D"/>
          <w:sz w:val="20"/>
          <w:szCs w:val="20"/>
        </w:rPr>
        <w:t xml:space="preserve">Handle with appropriate security measures.</w:t>
      </w:r>
    </w:p>
    <w:p>
      <w:pPr>
        <w:spacing w:before="600"/>
        <w:jc w:val="center"/>
      </w:pPr>
      <w:r>
        <w:rPr>
          <w:rFonts w:ascii="Calibri" w:eastAsia="Microsoft YaHei"/>
          <w:color w:val="5B6B7D"/>
          <w:sz w:val="20"/>
          <w:szCs w:val="20"/>
        </w:rPr>
        <w:t xml:space="preserve">Generated: 03 June 2026</w:t>
      </w:r>
    </w:p>
    <w:p>
      <w:pPr>
        <w:sectPr>
          <w:pgSz w:w="11906" w:h="16838" w:orient="portrait"/>
          <w:pgMar w:top="0" w:right="0" w:bottom="0" w:left="0" w:header="708" w:footer="708" w:gutter="0"/>
          <w:pgNumType/>
          <w:docGrid w:linePitch="360"/>
        </w:sectPr>
      </w:pPr>
    </w:p>
    <w:p>
      <w:pPr>
        <w:pStyle w:val="Heading1"/>
        <w:spacing w:after="200" w:before="360"/>
      </w:pPr>
      <w:r>
        <w:rPr>
          <w:rFonts w:ascii="Times New Roman" w:eastAsia="SimHei"/>
          <w:b/>
          <w:bCs/>
          <w:color w:val="0B1C2C"/>
          <w:sz w:val="32"/>
          <w:szCs w:val="32"/>
        </w:rPr>
        <w:t xml:space="preserve">1. Document Overview</w:t>
      </w:r>
    </w:p>
    <w:p>
      <w:pPr>
        <w:spacing w:after="120" w:line="312"/>
      </w:pPr>
      <w:r>
        <w:rPr>
          <w:color w:val="1C2A3D"/>
          <w:sz w:val="24"/>
          <w:szCs w:val="24"/>
        </w:rPr>
        <w:t xml:space="preserve">This document provides a comprehensive record of all user accounts and their associated login credentials for the NISAAP (Networked IoT Security Assessment and Analysis Platform) system. The platform is designed for IoT security assessment within the National Railways of Zimbabwe (NRZ) infrastructure. Access to this document is strictly limited to authorized administrators and should be stored securely in accordance with the organisation's information security policies.</w:t>
      </w:r>
    </w:p>
    <w:p>
      <w:pPr>
        <w:spacing w:after="120" w:line="312"/>
      </w:pPr>
      <w:r>
        <w:rPr>
          <w:color w:val="1C2A3D"/>
          <w:sz w:val="24"/>
          <w:szCs w:val="24"/>
        </w:rPr>
        <w:t xml:space="preserve">All passwords in the NISAAP system are hashed using the scrypt key derivation function with a 16-byte random salt and 64-byte derived key length. This ensures that even if the database is compromised, plaintext passwords cannot be easily recovered. However, the original plaintext passwords used during the initial database seeding are listed in this document for administrative reference purposes.</w:t>
      </w:r>
    </w:p>
    <w:p>
      <w:pPr>
        <w:spacing w:after="200" w:line="312"/>
      </w:pPr>
      <w:r>
        <w:rPr>
          <w:color w:val="1C2A3D"/>
          <w:sz w:val="24"/>
          <w:szCs w:val="24"/>
        </w:rPr>
        <w:t xml:space="preserve">The platform is accessible at: </w:t>
      </w:r>
      <w:r>
        <w:rPr>
          <w:b/>
          <w:bCs/>
          <w:color w:val="529286"/>
          <w:sz w:val="24"/>
          <w:szCs w:val="24"/>
        </w:rPr>
        <w:t xml:space="preserve">https://nisaap-official1.vercel.app</w:t>
      </w:r>
    </w:p>
    <w:p>
      <w:pPr>
        <w:pStyle w:val="Heading1"/>
        <w:spacing w:after="200" w:before="360"/>
      </w:pPr>
      <w:r>
        <w:rPr>
          <w:rFonts w:ascii="Times New Roman" w:eastAsia="SimHei"/>
          <w:b/>
          <w:bCs/>
          <w:color w:val="0B1C2C"/>
          <w:sz w:val="32"/>
          <w:szCs w:val="32"/>
        </w:rPr>
        <w:t xml:space="preserve">2. User Credentials</w:t>
      </w:r>
    </w:p>
    <w:p>
      <w:pPr>
        <w:spacing w:after="200" w:line="312"/>
      </w:pPr>
      <w:r>
        <w:rPr>
          <w:color w:val="1C2A3D"/>
          <w:sz w:val="24"/>
          <w:szCs w:val="24"/>
        </w:rPr>
        <w:t xml:space="preserve">The following table lists all registered user accounts on the NISAAP platform, including their usernames, plaintext passwords (for seed-created accounts), full names, email addresses, assigned roles, departments, and current account status. The Patama12 account was created through the web interface by an administrator, so its password is not included here as it was not part of the initial seeding process.</w:t>
      </w:r>
    </w:p>
    <w:tbl>
      <w:tblPr>
        <w:tblW w:type="pct" w:w="100%"/>
        <w:tblBorders>
          <w:top w:val="single" w:color="529286" w:sz="2"/>
          <w:left w:val="none"/>
          <w:bottom w:val="single" w:color="529286" w:sz="2"/>
          <w:right w:val="none"/>
          <w:insideH w:val="single" w:color="D0D8D0" w:sz="1"/>
          <w:insideV w:val="none"/>
        </w:tblBorders>
      </w:tblPr>
      <w:tblGrid>
        <w:gridCol w:w="100"/>
        <w:gridCol w:w="100"/>
        <w:gridCol w:w="100"/>
        <w:gridCol w:w="100"/>
        <w:gridCol w:w="100"/>
        <w:gridCol w:w="100"/>
        <w:gridCol w:w="100"/>
        <w:gridCol w:w="100"/>
      </w:tblGrid>
      <w:tr>
        <w:trPr>
          <w:tblHeader/>
        </w:trPr>
        <w:tc>
          <w:tcPr>
            <w:tcW w:type="pct" w:w="5%"/>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w:t>
            </w:r>
          </w:p>
        </w:tc>
        <w:tc>
          <w:tcPr>
            <w:tcW w:type="pct" w:w="13%"/>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Username</w:t>
            </w:r>
          </w:p>
        </w:tc>
        <w:tc>
          <w:tcPr>
            <w:tcW w:type="pct" w:w="14%"/>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Password</w:t>
            </w:r>
          </w:p>
        </w:tc>
        <w:tc>
          <w:tcPr>
            <w:tcW w:type="pct" w:w="15%"/>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Full Name</w:t>
            </w:r>
          </w:p>
        </w:tc>
        <w:tc>
          <w:tcPr>
            <w:tcW w:type="pct" w:w="22%"/>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Email</w:t>
            </w:r>
          </w:p>
        </w:tc>
        <w:tc>
          <w:tcPr>
            <w:tcW w:type="pct" w:w="10%"/>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Role</w:t>
            </w:r>
          </w:p>
        </w:tc>
        <w:tc>
          <w:tcPr>
            <w:tcW w:type="pct" w:w="13%"/>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Dept.</w:t>
            </w:r>
          </w:p>
        </w:tc>
        <w:tc>
          <w:tcPr>
            <w:tcW w:type="pct" w:w="8%"/>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Status</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1</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munyaradzi</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dimplex</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Munyaradzi Patama</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patamamunyaradzi@gmail.com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Admin</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IT Security</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2</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tariro</w:t>
            </w:r>
          </w:p>
        </w:tc>
        <w:tc>
          <w:tcPr>
            <w:tcW w:type="pct" w:w="14%"/>
            <w:shd w:fill="FFFFFF"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Tariro Moyo</w:t>
            </w:r>
          </w:p>
        </w:tc>
        <w:tc>
          <w:tcPr>
            <w:tcW w:type="pct" w:w="22%"/>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tariro.moyo@gmail.com</w:t>
            </w:r>
          </w:p>
        </w:tc>
        <w:tc>
          <w:tcPr>
            <w:tcW w:type="pct" w:w="10%"/>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Analyst</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Network Operations</w:t>
            </w:r>
          </w:p>
        </w:tc>
        <w:tc>
          <w:tcPr>
            <w:tcW w:type="pct" w:w="8%"/>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3</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chenai</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Chenai Dube</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chenai.dube@gmail.com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Viewer</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Management</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4</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tapiwa</w:t>
            </w:r>
          </w:p>
        </w:tc>
        <w:tc>
          <w:tcPr>
            <w:tcW w:type="pct" w:w="14%"/>
            <w:shd w:fill="FFFFFF"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Tapiwa Ncube</w:t>
            </w:r>
          </w:p>
        </w:tc>
        <w:tc>
          <w:tcPr>
            <w:tcW w:type="pct" w:w="22%"/>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tapiwa.ncube@gmail.com</w:t>
            </w:r>
          </w:p>
        </w:tc>
        <w:tc>
          <w:tcPr>
            <w:tcW w:type="pct" w:w="10%"/>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Analyst</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Cybersecurity</w:t>
            </w:r>
          </w:p>
        </w:tc>
        <w:tc>
          <w:tcPr>
            <w:tcW w:type="pct" w:w="8%"/>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5</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rupondo</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Rupondo Gumbo</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rupondo.gumbo@gmail.com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Analyst</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IT Security</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6</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nyasha</w:t>
            </w:r>
          </w:p>
        </w:tc>
        <w:tc>
          <w:tcPr>
            <w:tcW w:type="pct" w:w="14%"/>
            <w:shd w:fill="FFFFFF"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Nyasha Mahachi</w:t>
            </w:r>
          </w:p>
        </w:tc>
        <w:tc>
          <w:tcPr>
            <w:tcW w:type="pct" w:w="22%"/>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nyasha.mahachi@gmail.com</w:t>
            </w:r>
          </w:p>
        </w:tc>
        <w:tc>
          <w:tcPr>
            <w:tcW w:type="pct" w:w="10%"/>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Viewer</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Operations</w:t>
            </w:r>
          </w:p>
        </w:tc>
        <w:tc>
          <w:tcPr>
            <w:tcW w:type="pct" w:w="8%"/>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7</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kudzai</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Kudzai Chikumba</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kudzai.chikumba@gmail.com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Analyst</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Network Operations</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Inactive</w:t>
            </w:r>
          </w:p>
        </w:tc>
      </w:tr>
      <w:tr>
        <w:tc>
          <w:tcPr>
            <w:tcW w:type="pct" w:w="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8</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blessing</w:t>
            </w:r>
          </w:p>
        </w:tc>
        <w:tc>
          <w:tcPr>
            <w:tcW w:type="pct" w:w="14%"/>
            <w:shd w:fill="FFFFFF"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Blessing Shumba</w:t>
            </w:r>
          </w:p>
        </w:tc>
        <w:tc>
          <w:tcPr>
            <w:tcW w:type="pct" w:w="22%"/>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blessing.shumba@gmail.com</w:t>
            </w:r>
          </w:p>
        </w:tc>
        <w:tc>
          <w:tcPr>
            <w:tcW w:type="pct" w:w="10%"/>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Admin</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IT Security</w:t>
            </w:r>
          </w:p>
        </w:tc>
        <w:tc>
          <w:tcPr>
            <w:tcW w:type="pct" w:w="8%"/>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9</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farai</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Farai Mujuru</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farai.mujuru@gmail.com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Viewer</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Finance</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10</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mufaro</w:t>
            </w:r>
          </w:p>
        </w:tc>
        <w:tc>
          <w:tcPr>
            <w:tcW w:type="pct" w:w="14%"/>
            <w:shd w:fill="FFFFFF" w:val="clear"/>
            <w:tcMar>
              <w:top w:type="dxa" w:w="60"/>
              <w:left w:type="dxa" w:w="120"/>
              <w:bottom w:type="dxa" w:w="60"/>
              <w:right w:type="dxa" w:w="120"/>
            </w:tcMar>
          </w:tcPr>
          <w:p>
            <w:pPr>
              <w:jc w:val="left"/>
            </w:pPr>
            <w:r>
              <w:rPr>
                <w:rFonts w:ascii="Calibri" w:eastAsia="Microsoft YaHei"/>
                <w:b/>
                <w:bCs/>
                <w:color w:val="1A6B1A"/>
                <w:sz w:val="20"/>
                <w:szCs w:val="20"/>
              </w:rPr>
              <w:t xml:space="preserve">password123</w:t>
            </w:r>
          </w:p>
        </w:tc>
        <w:tc>
          <w:tcPr>
            <w:tcW w:type="pct" w:w="15%"/>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Mufaro Zvobgo</w:t>
            </w:r>
          </w:p>
        </w:tc>
        <w:tc>
          <w:tcPr>
            <w:tcW w:type="pct" w:w="22%"/>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mufaro.zvobgo@gmail.com</w:t>
            </w:r>
          </w:p>
        </w:tc>
        <w:tc>
          <w:tcPr>
            <w:tcW w:type="pct" w:w="10%"/>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Analyst</w:t>
            </w:r>
          </w:p>
        </w:tc>
        <w:tc>
          <w:tcPr>
            <w:tcW w:type="pct" w:w="13%"/>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Cybersecurity</w:t>
            </w:r>
          </w:p>
        </w:tc>
        <w:tc>
          <w:tcPr>
            <w:tcW w:type="pct" w:w="8%"/>
            <w:shd w:fill="FFFFFF"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r>
        <w:tc>
          <w:tcPr>
            <w:tcW w:type="pct" w:w="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11</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Patama12</w:t>
            </w:r>
          </w:p>
        </w:tc>
        <w:tc>
          <w:tcPr>
            <w:tcW w:type="pct" w:w="14%"/>
            <w:shd w:fill="EDF2F0" w:val="clear"/>
            <w:tcMar>
              <w:top w:type="dxa" w:w="60"/>
              <w:left w:type="dxa" w:w="120"/>
              <w:bottom w:type="dxa" w:w="60"/>
              <w:right w:type="dxa" w:w="120"/>
            </w:tcMar>
          </w:tcPr>
          <w:p>
            <w:pPr>
              <w:jc w:val="left"/>
            </w:pPr>
            <w:r>
              <w:rPr>
                <w:rFonts w:ascii="Calibri" w:eastAsia="Microsoft YaHei"/>
                <w:b/>
                <w:bCs/>
                <w:color w:val="1A6B1A"/>
                <w:sz w:val="20"/>
                <w:szCs w:val="20"/>
              </w:rPr>
              <w:t xml:space="preserve">(User-created)</w:t>
            </w:r>
          </w:p>
        </w:tc>
        <w:tc>
          <w:tcPr>
            <w:tcW w:type="pct" w:w="15%"/>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Austin Patama</w:t>
            </w:r>
          </w:p>
        </w:tc>
        <w:tc>
          <w:tcPr>
            <w:tcW w:type="pct" w:w="22%"/>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austinpatama@icloud.com</w:t>
            </w:r>
          </w:p>
        </w:tc>
        <w:tc>
          <w:tcPr>
            <w:tcW w:type="pct" w:w="10%"/>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Admin</w:t>
            </w:r>
          </w:p>
        </w:tc>
        <w:tc>
          <w:tcPr>
            <w:tcW w:type="pct" w:w="13%"/>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IT Security</w:t>
            </w:r>
          </w:p>
        </w:tc>
        <w:tc>
          <w:tcPr>
            <w:tcW w:type="pct" w:w="8%"/>
            <w:shd w:fill="EDF2F0" w:val="clear"/>
            <w:tcMar>
              <w:top w:type="dxa" w:w="60"/>
              <w:left w:type="dxa" w:w="120"/>
              <w:bottom w:type="dxa" w:w="60"/>
              <w:right w:type="dxa" w:w="120"/>
            </w:tcMar>
          </w:tcPr>
          <w:p>
            <w:pPr>
              <w:jc w:val="center"/>
            </w:pPr>
            <w:r>
              <w:rPr>
                <w:rFonts w:ascii="Calibri" w:eastAsia="Microsoft YaHei"/>
                <w:b w:val="false"/>
                <w:bCs w:val="false"/>
                <w:color w:val="1C2A3D"/>
                <w:sz w:val="20"/>
                <w:szCs w:val="20"/>
              </w:rPr>
              <w:t xml:space="preserve">Active</w:t>
            </w:r>
          </w:p>
        </w:tc>
      </w:tr>
    </w:tbl>
    <w:p>
      <w:pPr>
        <w:pStyle w:val="Heading1"/>
        <w:spacing w:after="200" w:before="400"/>
      </w:pPr>
      <w:r>
        <w:rPr>
          <w:rFonts w:ascii="Times New Roman" w:eastAsia="SimHei"/>
          <w:b/>
          <w:bCs/>
          <w:color w:val="0B1C2C"/>
          <w:sz w:val="32"/>
          <w:szCs w:val="32"/>
        </w:rPr>
        <w:t xml:space="preserve">3. Role-Based Access Control</w:t>
      </w:r>
    </w:p>
    <w:p>
      <w:pPr>
        <w:spacing w:after="200" w:line="312"/>
      </w:pPr>
      <w:r>
        <w:rPr>
          <w:color w:val="1C2A3D"/>
          <w:sz w:val="24"/>
          <w:szCs w:val="24"/>
        </w:rPr>
        <w:t xml:space="preserve">The NISAAP platform implements a role-based access control (RBAC) system with three distinct user roles: Admin, Analyst, and Viewer. Each role has specific permissions that determine what actions the user can perform within the system. Administrators have full access to all system features including user management, data creation, editing, and deletion. Analysts can create and modify security records but cannot delete records or manage user accounts. Viewers have read-only access and can only view existing data without the ability to create, modify, or delete any records.</w:t>
      </w:r>
    </w:p>
    <w:tbl>
      <w:tblPr>
        <w:tblW w:type="pct" w:w="100%"/>
        <w:tblBorders>
          <w:top w:val="single" w:color="529286" w:sz="2"/>
          <w:left w:val="none"/>
          <w:bottom w:val="single" w:color="529286" w:sz="2"/>
          <w:right w:val="none"/>
          <w:insideH w:val="single" w:color="D0D8D0" w:sz="1"/>
          <w:insideV w:val="none"/>
        </w:tblBorders>
      </w:tblPr>
      <w:tblGrid>
        <w:gridCol w:w="100"/>
        <w:gridCol w:w="100"/>
        <w:gridCol w:w="100"/>
        <w:gridCol w:w="100"/>
        <w:gridCol w:w="100"/>
        <w:gridCol w:w="100"/>
      </w:tblGrid>
      <w:tr>
        <w:trPr>
          <w:tblHeader/>
        </w:trPr>
        <w:tc>
          <w:tcPr>
            <w:tcW w:type="pct" w:w="15%"/>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Role</w:t>
            </w:r>
          </w:p>
        </w:tc>
        <w:tc>
          <w:tcPr>
            <w:tcW w:type="pct" w:w="14%"/>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View Data</w:t>
            </w:r>
          </w:p>
        </w:tc>
        <w:tc>
          <w:tcPr>
            <w:tcW w:type="pct" w:w="17%"/>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Create Records</w:t>
            </w:r>
          </w:p>
        </w:tc>
        <w:tc>
          <w:tcPr>
            <w:tcW w:type="pct" w:w="17%"/>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Edit Records</w:t>
            </w:r>
          </w:p>
        </w:tc>
        <w:tc>
          <w:tcPr>
            <w:tcW w:type="pct" w:w="17%"/>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Delete Records</w:t>
            </w:r>
          </w:p>
        </w:tc>
        <w:tc>
          <w:tcPr>
            <w:tcW w:type="pct" w:w="20%"/>
            <w:shd w:fill="529286" w:val="clear"/>
            <w:tcMar>
              <w:top w:type="dxa" w:w="80"/>
              <w:left w:type="dxa" w:w="120"/>
              <w:bottom w:type="dxa" w:w="80"/>
              <w:right w:type="dxa" w:w="120"/>
            </w:tcMar>
          </w:tcPr>
          <w:p>
            <w:pPr>
              <w:jc w:val="center"/>
            </w:pPr>
            <w:r>
              <w:rPr>
                <w:rFonts w:ascii="Calibri" w:eastAsia="SimHei"/>
                <w:b/>
                <w:bCs/>
                <w:color w:val="FFFFFF"/>
                <w:sz w:val="20"/>
                <w:szCs w:val="20"/>
              </w:rPr>
              <w:t xml:space="preserve">Manage Users</w:t>
            </w:r>
          </w:p>
        </w:tc>
      </w:tr>
      <w:tr>
        <w:tc>
          <w:tcPr>
            <w:tcW w:type="pct" w:w="15%"/>
            <w:shd w:fill="EDF2F0" w:val="clear"/>
            <w:tcMar>
              <w:top w:type="dxa" w:w="60"/>
              <w:left w:type="dxa" w:w="120"/>
              <w:bottom w:type="dxa" w:w="60"/>
              <w:right w:type="dxa" w:w="120"/>
            </w:tcMar>
          </w:tcPr>
          <w:p>
            <w:pPr>
              <w:jc w:val="left"/>
            </w:pPr>
            <w:r>
              <w:rPr>
                <w:rFonts w:ascii="Calibri" w:eastAsia="Microsoft YaHei"/>
                <w:b/>
                <w:bCs/>
                <w:color w:val="1C2A3D"/>
                <w:sz w:val="20"/>
                <w:szCs w:val="20"/>
              </w:rPr>
              <w:t xml:space="preserve">Admin</w:t>
            </w:r>
          </w:p>
        </w:tc>
        <w:tc>
          <w:tcPr>
            <w:tcW w:type="pct" w:w="14%"/>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20%"/>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r>
      <w:tr>
        <w:tc>
          <w:tcPr>
            <w:tcW w:type="pct" w:w="15%"/>
            <w:shd w:fill="FFFFFF" w:val="clear"/>
            <w:tcMar>
              <w:top w:type="dxa" w:w="60"/>
              <w:left w:type="dxa" w:w="120"/>
              <w:bottom w:type="dxa" w:w="60"/>
              <w:right w:type="dxa" w:w="120"/>
            </w:tcMar>
          </w:tcPr>
          <w:p>
            <w:pPr>
              <w:jc w:val="left"/>
            </w:pPr>
            <w:r>
              <w:rPr>
                <w:rFonts w:ascii="Calibri" w:eastAsia="Microsoft YaHei"/>
                <w:b/>
                <w:bCs/>
                <w:color w:val="1C2A3D"/>
                <w:sz w:val="20"/>
                <w:szCs w:val="20"/>
              </w:rPr>
              <w:t xml:space="preserve">Analyst</w:t>
            </w:r>
          </w:p>
        </w:tc>
        <w:tc>
          <w:tcPr>
            <w:tcW w:type="pct" w:w="14%"/>
            <w:shd w:fill="FFFFFF"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FFFFFF"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FFFFFF"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FFFFFF"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c>
          <w:tcPr>
            <w:tcW w:type="pct" w:w="20%"/>
            <w:shd w:fill="FFFFFF"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r>
      <w:tr>
        <w:tc>
          <w:tcPr>
            <w:tcW w:type="pct" w:w="15%"/>
            <w:shd w:fill="EDF2F0" w:val="clear"/>
            <w:tcMar>
              <w:top w:type="dxa" w:w="60"/>
              <w:left w:type="dxa" w:w="120"/>
              <w:bottom w:type="dxa" w:w="60"/>
              <w:right w:type="dxa" w:w="120"/>
            </w:tcMar>
          </w:tcPr>
          <w:p>
            <w:pPr>
              <w:jc w:val="left"/>
            </w:pPr>
            <w:r>
              <w:rPr>
                <w:rFonts w:ascii="Calibri" w:eastAsia="Microsoft YaHei"/>
                <w:b/>
                <w:bCs/>
                <w:color w:val="1C2A3D"/>
                <w:sz w:val="20"/>
                <w:szCs w:val="20"/>
              </w:rPr>
              <w:t xml:space="preserve">Viewer</w:t>
            </w:r>
          </w:p>
        </w:tc>
        <w:tc>
          <w:tcPr>
            <w:tcW w:type="pct" w:w="14%"/>
            <w:shd w:fill="EDF2F0" w:val="clear"/>
            <w:tcMar>
              <w:top w:type="dxa" w:w="60"/>
              <w:left w:type="dxa" w:w="120"/>
              <w:bottom w:type="dxa" w:w="60"/>
              <w:right w:type="dxa" w:w="120"/>
            </w:tcMar>
          </w:tcPr>
          <w:p>
            <w:pPr>
              <w:jc w:val="center"/>
            </w:pPr>
            <w:r>
              <w:rPr>
                <w:rFonts w:ascii="Calibri" w:eastAsia="Microsoft YaHei"/>
                <w:b w:val="false"/>
                <w:bCs w:val="false"/>
                <w:color w:val="1A6B1A"/>
                <w:sz w:val="20"/>
                <w:szCs w:val="20"/>
              </w:rPr>
              <w:t xml:space="preserve">Yes</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c>
          <w:tcPr>
            <w:tcW w:type="pct" w:w="17%"/>
            <w:shd w:fill="EDF2F0"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c>
          <w:tcPr>
            <w:tcW w:type="pct" w:w="20%"/>
            <w:shd w:fill="EDF2F0" w:val="clear"/>
            <w:tcMar>
              <w:top w:type="dxa" w:w="60"/>
              <w:left w:type="dxa" w:w="120"/>
              <w:bottom w:type="dxa" w:w="60"/>
              <w:right w:type="dxa" w:w="120"/>
            </w:tcMar>
          </w:tcPr>
          <w:p>
            <w:pPr>
              <w:jc w:val="center"/>
            </w:pPr>
            <w:r>
              <w:rPr>
                <w:rFonts w:ascii="Calibri" w:eastAsia="Microsoft YaHei"/>
                <w:b w:val="false"/>
                <w:bCs w:val="false"/>
                <w:color w:val="C0392B"/>
                <w:sz w:val="20"/>
                <w:szCs w:val="20"/>
              </w:rPr>
              <w:t xml:space="preserve">No</w:t>
            </w:r>
          </w:p>
        </w:tc>
      </w:tr>
    </w:tbl>
    <w:p>
      <w:pPr>
        <w:pStyle w:val="Heading1"/>
        <w:spacing w:after="200" w:before="400"/>
      </w:pPr>
      <w:r>
        <w:rPr>
          <w:rFonts w:ascii="Times New Roman" w:eastAsia="SimHei"/>
          <w:b/>
          <w:bCs/>
          <w:color w:val="0B1C2C"/>
          <w:sz w:val="32"/>
          <w:szCs w:val="32"/>
        </w:rPr>
        <w:t xml:space="preserve">4. Security Recommendations</w:t>
      </w:r>
    </w:p>
    <w:p>
      <w:pPr>
        <w:spacing w:after="120" w:line="312"/>
      </w:pPr>
      <w:r>
        <w:rPr>
          <w:color w:val="1C2A3D"/>
          <w:sz w:val="24"/>
          <w:szCs w:val="24"/>
        </w:rPr>
        <w:t xml:space="preserve">The following security recommendations should be implemented to enhance the protection of user accounts and system access on the NISAAP platform. These measures are critical for maintaining the integrity and confidentiality of IoT security assessment data within the NRZ infrastructure.</w:t>
      </w:r>
    </w:p>
    <w:p>
      <w:pPr>
        <w:spacing w:after="80" w:line="312"/>
        <w:ind w:left="480" w:hanging="240"/>
      </w:pPr>
      <w:r>
        <w:rPr>
          <w:b/>
          <w:bCs/>
          <w:color w:val="1C2A3D"/>
          <w:sz w:val="24"/>
          <w:szCs w:val="24"/>
        </w:rPr>
        <w:t xml:space="preserve">1. Password Rotation: </w:t>
      </w:r>
      <w:r>
        <w:rPr>
          <w:color w:val="1C2A3D"/>
          <w:sz w:val="24"/>
          <w:szCs w:val="24"/>
        </w:rPr>
        <w:t xml:space="preserve">All default passwords (password123) should be changed immediately upon first login. Enforce a password rotation policy requiring users to change their passwords every 90 days with a minimum complexity requirement of 8 characters including uppercase, lowercase, numbers, and special characters.</w:t>
      </w:r>
    </w:p>
    <w:p>
      <w:pPr>
        <w:spacing w:after="80" w:line="312"/>
        <w:ind w:left="480" w:hanging="240"/>
      </w:pPr>
      <w:r>
        <w:rPr>
          <w:b/>
          <w:bCs/>
          <w:color w:val="1C2A3D"/>
          <w:sz w:val="24"/>
          <w:szCs w:val="24"/>
        </w:rPr>
        <w:t xml:space="preserve">2. Multi-Factor Authentication: </w:t>
      </w:r>
      <w:r>
        <w:rPr>
          <w:color w:val="1C2A3D"/>
          <w:sz w:val="24"/>
          <w:szCs w:val="24"/>
        </w:rPr>
        <w:t xml:space="preserve">Implement MFA for all admin accounts as a priority, and extend to all user roles. This adds a critical second layer of defense beyond passwords, particularly important for a platform managing critical infrastructure security data.</w:t>
      </w:r>
    </w:p>
    <w:p>
      <w:pPr>
        <w:spacing w:after="80" w:line="312"/>
        <w:ind w:left="480" w:hanging="240"/>
      </w:pPr>
      <w:r>
        <w:rPr>
          <w:b/>
          <w:bCs/>
          <w:color w:val="1C2A3D"/>
          <w:sz w:val="24"/>
          <w:szCs w:val="24"/>
        </w:rPr>
        <w:t xml:space="preserve">3. Document Security: </w:t>
      </w:r>
      <w:r>
        <w:rPr>
          <w:color w:val="1C2A3D"/>
          <w:sz w:val="24"/>
          <w:szCs w:val="24"/>
        </w:rPr>
        <w:t xml:space="preserve">This document should be stored in an encrypted, access-controlled location. Physical copies should be kept in a locked cabinet and digital copies should be encrypted with AES-256. Distribute only on a need-to-know basis and maintain an access log for this document.</w:t>
      </w:r>
    </w:p>
    <w:p>
      <w:pPr>
        <w:spacing w:after="80" w:line="312"/>
        <w:ind w:left="480" w:hanging="240"/>
      </w:pPr>
      <w:r>
        <w:rPr>
          <w:b/>
          <w:bCs/>
          <w:color w:val="1C2A3D"/>
          <w:sz w:val="24"/>
          <w:szCs w:val="24"/>
        </w:rPr>
        <w:t xml:space="preserve">4. Account Auditing: </w:t>
      </w:r>
      <w:r>
        <w:rPr>
          <w:color w:val="1C2A3D"/>
          <w:sz w:val="24"/>
          <w:szCs w:val="24"/>
        </w:rPr>
        <w:t xml:space="preserve">Regularly review the audit logs for suspicious login activity, especially for admin accounts. The platform already tracks login events and user actions; ensure these logs are reviewed weekly and any anomalies are investigated promptly.</w:t>
      </w:r>
    </w:p>
    <w:p>
      <w:pPr>
        <w:spacing w:after="80" w:line="312"/>
        <w:ind w:left="480" w:hanging="240"/>
      </w:pPr>
      <w:r>
        <w:rPr>
          <w:b/>
          <w:bCs/>
          <w:color w:val="1C2A3D"/>
          <w:sz w:val="24"/>
          <w:szCs w:val="24"/>
        </w:rPr>
        <w:t xml:space="preserve">5. Inactive Account Management: </w:t>
      </w:r>
      <w:r>
        <w:rPr>
          <w:color w:val="1C2A3D"/>
          <w:sz w:val="24"/>
          <w:szCs w:val="24"/>
        </w:rPr>
        <w:t xml:space="preserve">The kudzai account is currently inactive. Review inactive accounts quarterly and either reactivate with new credentials or permanently remove them from the system to reduce the attack surface.</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6"/>
        <w:szCs w:val="16"/>
      </w:rPr>
      <w:t xml:space="preserve">NISAAP - Confidential</w:t>
    </w:r>
    <w:r>
      <w:rPr>
        <w:color w:val="5B6B7D"/>
        <w:sz w:val="16"/>
        <w:szCs w:val="16"/>
      </w:rPr>
      <w:t xml:space="preserve">  |  Page </w:t>
    </w:r>
    <w:r>
      <w:rPr>
        <w:color w:val="5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B1C2C"/>
      <w:sz w:val="32"/>
      <w:szCs w:val="32"/>
    </w:rPr>
  </w:style>
  <w:style w:type="paragraph" w:styleId="Heading2">
    <w:name w:val="Heading 2"/>
    <w:basedOn w:val="Normal"/>
    <w:next w:val="Normal"/>
    <w:qFormat/>
    <w:rPr>
      <w:rFonts w:ascii="Times New Roman" w:eastAsia="SimHei"/>
      <w:b/>
      <w:bCs/>
      <w:color w:val="0B1C2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2026-06-03T09:33:42.064Z</dcterms:created>
  <dcterms:modified xsi:type="dcterms:W3CDTF">2026-06-03T09:33:42.064Z</dcterms:modified>
</cp:coreProperties>
</file>

<file path=docProps/custom.xml><?xml version="1.0" encoding="utf-8"?>
<Properties xmlns="http://schemas.openxmlformats.org/officeDocument/2006/custom-properties" xmlns:vt="http://schemas.openxmlformats.org/officeDocument/2006/docPropsVTypes"/>
</file>