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E6091"/>
          <w:sz w:val="52"/>
          <w:szCs w:val="52"/>
        </w:rPr>
        <w:t xml:space="preserve">XrmFramework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Service Layer Architecture</w:t>
      </w:r>
    </w:p>
    <w:p>
      <w:pPr>
        <w:spacing w:after="1800"/>
        <w:jc w:val="center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Understanding IService</w:t>
      </w:r>
    </w:p>
    <w:p>
      <w:pPr>
        <w:pBdr>
          <w:bottom w:val="single" w:color="1E6091" w:sz="8" w:space="1"/>
        </w:pBdr>
        <w:spacing w:after="4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1.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Dynamics 365 / Dataverse development, plugins run in a sandbox and receive a raw </w:t>
      </w:r>
      <w:r>
        <w:rPr>
          <w:rFonts w:ascii="Courier New" w:cs="Courier New" w:eastAsia="Courier New" w:hAnsi="Courier New"/>
          <w:sz w:val="20"/>
          <w:szCs w:val="20"/>
        </w:rPr>
        <w:t xml:space="preserve">IOrganizationService</w:t>
      </w:r>
      <w:r>
        <w:rPr>
          <w:rFonts w:ascii="Arial" w:cs="Arial" w:eastAsia="Arial" w:hAnsi="Arial"/>
          <w:sz w:val="22"/>
          <w:szCs w:val="22"/>
        </w:rPr>
        <w:t xml:space="preserve"> instance from Microsoft. This interface is powerful but low-level: it exposes a generic </w:t>
      </w:r>
      <w:r>
        <w:rPr>
          <w:rFonts w:ascii="Courier New" w:cs="Courier New" w:eastAsia="Courier New" w:hAnsi="Courier New"/>
          <w:sz w:val="20"/>
          <w:szCs w:val="20"/>
        </w:rPr>
        <w:t xml:space="preserve">Execute(OrganizationRequest)</w:t>
      </w:r>
      <w:r>
        <w:rPr>
          <w:rFonts w:ascii="Arial" w:cs="Arial" w:eastAsia="Arial" w:hAnsi="Arial"/>
          <w:sz w:val="22"/>
          <w:szCs w:val="22"/>
        </w:rPr>
        <w:t xml:space="preserve"> method that accepts any request object and returns a generic response. While flexible, this API surface makes plugin code verbose, hard to read, and difficult to maintain at scale.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XrmFramework replaces direct </w:t>
      </w:r>
      <w:r>
        <w:rPr>
          <w:rFonts w:ascii="Courier New" w:cs="Courier New" w:eastAsia="Courier New" w:hAnsi="Courier New"/>
          <w:sz w:val="20"/>
          <w:szCs w:val="20"/>
        </w:rPr>
        <w:t xml:space="preserve">IOrganizationService</w:t>
      </w:r>
      <w:r>
        <w:rPr>
          <w:rFonts w:ascii="Arial" w:cs="Arial" w:eastAsia="Arial" w:hAnsi="Arial"/>
          <w:sz w:val="22"/>
          <w:szCs w:val="22"/>
        </w:rPr>
        <w:t xml:space="preserve"> usage inside plugins with a richer, project-specific abstraction called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IService</w:t>
      </w:r>
      <w:r>
        <w:rPr>
          <w:rFonts w:ascii="Arial" w:cs="Arial" w:eastAsia="Arial" w:hAnsi="Arial"/>
          <w:sz w:val="22"/>
          <w:szCs w:val="22"/>
        </w:rPr>
        <w:t xml:space="preserve">. The goal is simple: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plugin handlers should read like business requirements, not like database queries.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091"/>
                <w:sz w:val="28"/>
                <w:szCs w:val="28"/>
              </w:rPr>
              <w:t xml:space="preserve">ℹ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2"/>
                <w:szCs w:val="22"/>
              </w:rPr>
              <w:t xml:space="preserve">Design principle: </w:t>
            </w:r>
            <w:r>
              <w:rPr>
                <w:rFonts w:ascii="Arial" w:cs="Arial" w:eastAsia="Arial" w:hAnsi="Arial"/>
                <w:color w:val="1E6091"/>
                <w:sz w:val="22"/>
                <w:szCs w:val="22"/>
              </w:rPr>
              <w:t xml:space="preserve">A plugin handler should express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E6091"/>
                <w:sz w:val="22"/>
                <w:szCs w:val="22"/>
              </w:rPr>
              <w:t xml:space="preserve">what</w:t>
            </w:r>
            <w:r>
              <w:rPr>
                <w:rFonts w:ascii="Arial" w:cs="Arial" w:eastAsia="Arial" w:hAnsi="Arial"/>
                <w:color w:val="1E6091"/>
                <w:sz w:val="22"/>
                <w:szCs w:val="22"/>
              </w:rPr>
              <w:t xml:space="preserve"> the business rule does, not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E6091"/>
                <w:sz w:val="22"/>
                <w:szCs w:val="22"/>
              </w:rPr>
              <w:t xml:space="preserve">how</w:t>
            </w:r>
            <w:r>
              <w:rPr>
                <w:rFonts w:ascii="Arial" w:cs="Arial" w:eastAsia="Arial" w:hAnsi="Arial"/>
                <w:color w:val="1E6091"/>
                <w:sz w:val="22"/>
                <w:szCs w:val="22"/>
              </w:rPr>
              <w:t xml:space="preserve"> data is fetched from the platform.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2. Why IService Does Not Expose Execute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most visible design choice of </w:t>
      </w:r>
      <w:r>
        <w:rPr>
          <w:rFonts w:ascii="Courier New" w:cs="Courier New" w:eastAsia="Courier New" w:hAnsi="Courier New"/>
          <w:sz w:val="20"/>
          <w:szCs w:val="20"/>
        </w:rPr>
        <w:t xml:space="preserve">IService</w:t>
      </w:r>
      <w:r>
        <w:rPr>
          <w:rFonts w:ascii="Arial" w:cs="Arial" w:eastAsia="Arial" w:hAnsi="Arial"/>
          <w:sz w:val="22"/>
          <w:szCs w:val="22"/>
        </w:rPr>
        <w:t xml:space="preserve"> is the deliberate omission of the </w:t>
      </w:r>
      <w:r>
        <w:rPr>
          <w:rFonts w:ascii="Courier New" w:cs="Courier New" w:eastAsia="Courier New" w:hAnsi="Courier New"/>
          <w:sz w:val="20"/>
          <w:szCs w:val="20"/>
        </w:rPr>
        <w:t xml:space="preserve">Execute(OrganizationRequest)</w:t>
      </w:r>
      <w:r>
        <w:rPr>
          <w:rFonts w:ascii="Arial" w:cs="Arial" w:eastAsia="Arial" w:hAnsi="Arial"/>
          <w:sz w:val="22"/>
          <w:szCs w:val="22"/>
        </w:rPr>
        <w:t xml:space="preserve"> method that sits at the heart of </w:t>
      </w:r>
      <w:r>
        <w:rPr>
          <w:rFonts w:ascii="Courier New" w:cs="Courier New" w:eastAsia="Courier New" w:hAnsi="Courier New"/>
          <w:sz w:val="20"/>
          <w:szCs w:val="20"/>
        </w:rPr>
        <w:t xml:space="preserve">IOrganizationService</w:t>
      </w:r>
      <w:r>
        <w:rPr>
          <w:rFonts w:ascii="Arial" w:cs="Arial" w:eastAsia="Arial" w:hAnsi="Arial"/>
          <w:sz w:val="22"/>
          <w:szCs w:val="22"/>
        </w:rPr>
        <w:t xml:space="preserve">. This section explains why.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The Problem with Execute in Plugin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Consider a plugin that must enforce a business rule: when an Account is updated, recompute its assigned account number by calling a custom Dataverse action.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Without IService — raw IOrganizationService:</w:t>
      </w:r>
    </w:p>
    <w:p>
      <w:pPr>
        <w:pBdr>
          <w:top w:val="single" w:color="AEB6BF" w:sz="4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void Execute(IServiceProvider serviceProvider)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context    = (IPluginExecutionContext)serviceProvider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.GetService(typeof(IPluginExecutionContext));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factory    = (IOrganizationServiceFactory)serviceProvider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.GetService(typeof(IOrganizationServiceFactory));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orgService = factory.CreateOrganizationService(context.UserId);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Build and fire the request manually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request = new OrganizationRequest("contoso_ComputeAccountNumber");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request["Target"] = new EntityReference("account", context.PrimaryEntityId);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response = orgService.Execute(request);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number   = (string)response["AccountNumber"];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A reader must mentally parse all of the above to understand what this does</w:t>
      </w:r>
    </w:p>
    <w:p>
      <w:pPr>
        <w:pBdr>
          <w:top w:val="none" w:color="FFFFFF" w:sz="0"/>
          <w:left w:val="single" w:color="2E86C1" w:sz="12"/>
          <w:bottom w:val="single" w:color="AEB6BF" w:sz="4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E6091"/>
          <w:sz w:val="22"/>
          <w:szCs w:val="22"/>
        </w:rPr>
        <w:t xml:space="preserve">With IService — named service method:</w:t>
      </w:r>
    </w:p>
    <w:p>
      <w:pPr>
        <w:pBdr>
          <w:top w:val="single" w:color="AEB6BF" w:sz="4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void OnPostUpdate(IPluginContext context, IAccountService accountService)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number = accountService.GetAccountNumber(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new EntityReference(AccountDefinition.EntityName, context.PrimaryEntityId)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context.Log("New account number: {0}", number);</w:t>
      </w:r>
    </w:p>
    <w:p>
      <w:pPr>
        <w:pBdr>
          <w:top w:val="none" w:color="FFFFFF" w:sz="0"/>
          <w:left w:val="single" w:color="2E86C1" w:sz="12"/>
          <w:bottom w:val="single" w:color="AEB6BF" w:sz="4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second version is self-documenting. A developer reading </w:t>
      </w:r>
      <w:r>
        <w:rPr>
          <w:rFonts w:ascii="Courier New" w:cs="Courier New" w:eastAsia="Courier New" w:hAnsi="Courier New"/>
          <w:sz w:val="20"/>
          <w:szCs w:val="20"/>
        </w:rPr>
        <w:t xml:space="preserve">GetAccountNumber(...)</w:t>
      </w:r>
      <w:r>
        <w:rPr>
          <w:rFonts w:ascii="Arial" w:cs="Arial" w:eastAsia="Arial" w:hAnsi="Arial"/>
          <w:sz w:val="22"/>
          <w:szCs w:val="22"/>
        </w:rPr>
        <w:t xml:space="preserve"> immediately understands the intent without tracing through request/response plumbing. The query logic lives once, inside the service implementation, not scattered across every plugin that needs it.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Comparison: IOrganizationService vs IService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6091" w:sz="4"/>
              <w:left w:val="single" w:color="1E6091" w:sz="4"/>
              <w:bottom w:val="single" w:color="1E6091" w:sz="4"/>
              <w:right w:val="single" w:color="1E6091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6360"/>
            <w:tcBorders>
              <w:top w:val="single" w:color="1E6091" w:sz="4"/>
              <w:left w:val="single" w:color="1E6091" w:sz="4"/>
              <w:bottom w:val="single" w:color="1E6091" w:sz="4"/>
              <w:right w:val="single" w:color="1E6091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IOrganizationService vs IService</w:t>
            </w:r>
          </w:p>
        </w:tc>
      </w:tr>
      <w:tr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Provided by</w:t>
            </w:r>
          </w:p>
        </w:tc>
        <w:tc>
          <w:tcPr>
            <w:tcW w:type="dxa" w:w="6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Microsoft SDK  vs  XrmFramework</w:t>
            </w:r>
          </w:p>
        </w:tc>
      </w:tr>
      <w:tr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API style</w:t>
            </w:r>
          </w:p>
        </w:tc>
        <w:tc>
          <w:tcPr>
            <w:tcW w:type="dxa" w:w="6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Execute(OrganizationRequest) — generic  vs  Named, strongly-typed methods</w:t>
            </w:r>
          </w:p>
        </w:tc>
      </w:tr>
      <w:tr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CRUD</w:t>
            </w:r>
          </w:p>
        </w:tc>
        <w:tc>
          <w:tcPr>
            <w:tcW w:type="dxa" w:w="6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/ Retrieve / Update / Delete primitives  vs  Same primitives, plus typed overloads (IBindingModel)</w:t>
            </w:r>
          </w:p>
        </w:tc>
      </w:tr>
      <w:tr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Query execution</w:t>
            </w:r>
          </w:p>
        </w:tc>
        <w:tc>
          <w:tcPr>
            <w:tcW w:type="dxa" w:w="6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 — caller builds FetchXml / QueryExpression  vs  Hidden — queries stay inside service implementations</w:t>
            </w:r>
          </w:p>
        </w:tc>
      </w:tr>
      <w:tr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Plugin readability</w:t>
            </w:r>
          </w:p>
        </w:tc>
        <w:tc>
          <w:tcPr>
            <w:tcW w:type="dxa" w:w="6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— requires reading request assembly code  vs  High — method name expresses business intent</w:t>
            </w:r>
          </w:p>
        </w:tc>
      </w:tr>
      <w:tr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 reuse</w:t>
            </w:r>
          </w:p>
        </w:tc>
        <w:tc>
          <w:tcPr>
            <w:tcW w:type="dxa" w:w="6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— every plugin duplicates query code  vs  Full — one service method, many callers</w:t>
            </w:r>
          </w:p>
        </w:tc>
      </w:tr>
      <w:tr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Logging / tracing</w:t>
            </w:r>
          </w:p>
        </w:tc>
        <w:tc>
          <w:tcPr>
            <w:tcW w:type="dxa" w:w="6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 vs  Automatic (generated LoggedService wrapper)</w:t>
            </w:r>
          </w:p>
        </w:tc>
      </w:tr>
      <w:tr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Accessible in plugins</w:t>
            </w:r>
          </w:p>
        </w:tc>
        <w:tc>
          <w:tcPr>
            <w:tcW w:type="dxa" w:w="6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Via IServiceContext (internal use only)  vs  Via dependency injection (preferred)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Where Execute Lives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Execute</w:t>
      </w:r>
      <w:r>
        <w:rPr>
          <w:rFonts w:ascii="Arial" w:cs="Arial" w:eastAsia="Arial" w:hAnsi="Arial"/>
          <w:sz w:val="22"/>
          <w:szCs w:val="22"/>
        </w:rPr>
        <w:t xml:space="preserve"> method is not gone — it is encapsulated. </w:t>
      </w:r>
      <w:r>
        <w:rPr>
          <w:rFonts w:ascii="Courier New" w:cs="Courier New" w:eastAsia="Courier New" w:hAnsi="Courier New"/>
          <w:sz w:val="20"/>
          <w:szCs w:val="20"/>
        </w:rPr>
        <w:t xml:space="preserve">DefaultService</w:t>
      </w:r>
      <w:r>
        <w:rPr>
          <w:rFonts w:ascii="Arial" w:cs="Arial" w:eastAsia="Arial" w:hAnsi="Arial"/>
          <w:sz w:val="22"/>
          <w:szCs w:val="22"/>
        </w:rPr>
        <w:t xml:space="preserve">, the base class for all concrete service implementations, holds a private bridge method:</w:t>
      </w:r>
    </w:p>
    <w:p>
      <w:pPr>
        <w:pBdr>
          <w:top w:val="single" w:color="AEB6BF" w:sz="4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Inside DefaultService — private, not part of any public interface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private TResponse Execute&lt;TRequest, TResponse&gt;(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IOrganizationService service,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TRequest request,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bool bypassCustomPluginExecution)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where TRequest : OrganizationRequest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where TResponse : OrganizationResponse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(bypassCustomPluginExecution)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request["BypassCustomPluginExecution"] = true;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(TResponse)service.Execute(request);</w:t>
      </w:r>
    </w:p>
    <w:p>
      <w:pPr>
        <w:pBdr>
          <w:top w:val="none" w:color="FFFFFF" w:sz="0"/>
          <w:left w:val="single" w:color="2E86C1" w:sz="12"/>
          <w:bottom w:val="single" w:color="AEB6BF" w:sz="4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private method is the only place in the framework where </w:t>
      </w:r>
      <w:r>
        <w:rPr>
          <w:rFonts w:ascii="Courier New" w:cs="Courier New" w:eastAsia="Courier New" w:hAnsi="Courier New"/>
          <w:sz w:val="20"/>
          <w:szCs w:val="20"/>
        </w:rPr>
        <w:t xml:space="preserve">IOrganizationService.Execute</w:t>
      </w:r>
      <w:r>
        <w:rPr>
          <w:rFonts w:ascii="Arial" w:cs="Arial" w:eastAsia="Arial" w:hAnsi="Arial"/>
          <w:sz w:val="22"/>
          <w:szCs w:val="22"/>
        </w:rPr>
        <w:t xml:space="preserve"> is called directly. Everything above it exposes clean, named operations.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3. The IService Interface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IService</w:t>
      </w:r>
      <w:r>
        <w:rPr>
          <w:rFonts w:ascii="Arial" w:cs="Arial" w:eastAsia="Arial" w:hAnsi="Arial"/>
          <w:sz w:val="22"/>
          <w:szCs w:val="22"/>
        </w:rPr>
        <w:t xml:space="preserve"> is declared as a </w:t>
      </w:r>
      <w:r>
        <w:rPr>
          <w:rFonts w:ascii="Courier New" w:cs="Courier New" w:eastAsia="Courier New" w:hAnsi="Courier New"/>
          <w:sz w:val="20"/>
          <w:szCs w:val="20"/>
        </w:rPr>
        <w:t xml:space="preserve">partial interface</w:t>
      </w:r>
      <w:r>
        <w:rPr>
          <w:rFonts w:ascii="Arial" w:cs="Arial" w:eastAsia="Arial" w:hAnsi="Arial"/>
          <w:sz w:val="22"/>
          <w:szCs w:val="22"/>
        </w:rPr>
        <w:t xml:space="preserve"> in XrmFramework, allowing generated code to contribute additional members. Out of the box it exposes the following categories of operations: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Core CRUD Operations</w:t>
      </w:r>
    </w:p>
    <w:p>
      <w:pPr>
        <w:pBdr>
          <w:top w:val="single" w:color="AEB6BF" w:sz="4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Guid   Create(Entity entity, bool useAdmin = false, bool bypassCustomPluginExecution = false);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UpsertResponse Upsert(Entity entity, bool useAdmin = false, bool bypassCustomPluginExecution = false);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void   Update(Entity entity, bool useAdmin = false, bool bypassCustomPluginExecution = false);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void   Delete(string logicalName, Guid id, bool useAdmin = false, bool bypassCustomPluginExecution = false);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void   Delete(EntityReference objectReference, bool useAdmin = false, bool bypassCustomPluginExecution = false);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Entity Retrieve(string entityName, Guid id, params string[] columns);</w:t>
      </w:r>
    </w:p>
    <w:p>
      <w:pPr>
        <w:pBdr>
          <w:top w:val="none" w:color="FFFFFF" w:sz="0"/>
          <w:left w:val="single" w:color="2E86C1" w:sz="12"/>
          <w:bottom w:val="single" w:color="AEB6BF" w:sz="4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Entity Retrieve(EntityReference objectRef, params string[] columns);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Typed Model Operations</w:t>
      </w:r>
    </w:p>
    <w:p>
      <w:pPr>
        <w:pBdr>
          <w:top w:val="single" w:color="AEB6BF" w:sz="4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    GetById&lt;T&gt;(Guid id)                    where T : IBindingModel, new();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    GetById&lt;T&gt;(EntityReference entityRef)  where T : IBindingModel, new();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    Upsert&lt;T&gt;(T model, bool isAdmin = false, bool bypassCustomPluginExecution = false)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where T : IBindingModel, new();</w:t>
      </w:r>
    </w:p>
    <w:p>
      <w:pPr>
        <w:pBdr>
          <w:top w:val="none" w:color="FFFFFF" w:sz="0"/>
          <w:left w:val="single" w:color="2E86C1" w:sz="12"/>
          <w:bottom w:val="single" w:color="AEB6BF" w:sz="4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Entity ToEntity&lt;T&gt;(T model)                 where T : IBindingModel;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Relationship &amp; Sharing Operations</w:t>
      </w:r>
    </w:p>
    <w:p>
      <w:pPr>
        <w:pBdr>
          <w:top w:val="single" w:color="AEB6BF" w:sz="4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void AssociateRecords(EntityReference objectRef, Relationship relationName,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params EntityReference[] entityReferences);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void AssignEntity(EntityReference objectReference, EntityReference ownerRef, ...);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void Share(EntityReference objectRef, EntityReference assignee, AccessRights accessRights, ...);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void UnShare(EntityReference objectRef, EntityReference revokee, ...);</w:t>
      </w:r>
    </w:p>
    <w:p>
      <w:pPr>
        <w:pBdr>
          <w:top w:val="none" w:color="FFFFFF" w:sz="0"/>
          <w:left w:val="single" w:color="2E86C1" w:sz="12"/>
          <w:bottom w:val="single" w:color="AEB6BF" w:sz="4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void Merge(EntityReference target, Guid subordinate, Entity content, ...);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Team &amp; Role Operations</w:t>
      </w:r>
    </w:p>
    <w:p>
      <w:pPr>
        <w:pBdr>
          <w:top w:val="single" w:color="AEB6BF" w:sz="4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void AddUsersToTeam(EntityReference teamRef, params EntityReference[] userRefs);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void RemoveUsersFromTeam(EntityReference teamRef, params EntityReference[] userRefs);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bool UserHasRole(Guid userId, Guid parentRoleId);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bool UserHasOneRoleOf(Guid userId, params Guid[] parentRoleIds);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ICollection&lt;Guid&gt; GetUserRoleIds(EntityReference userRef);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ICollection&lt;EntityReference&gt; GetTeamMemberRefs(EntityReference teamRef);</w:t>
      </w:r>
    </w:p>
    <w:p>
      <w:pPr>
        <w:pBdr>
          <w:top w:val="none" w:color="FFFFFF" w:sz="0"/>
          <w:left w:val="single" w:color="2E86C1" w:sz="12"/>
          <w:bottom w:val="single" w:color="AEB6BF" w:sz="4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void AddRoleToUserOrTeam(EntityReference userOrTeamRef, string parentRootRoleId, ...);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Notice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 of these methods forces the caller to build an </w:t>
      </w:r>
      <w:r>
        <w:rPr>
          <w:rFonts w:ascii="Courier New" w:cs="Courier New" w:eastAsia="Courier New" w:hAnsi="Courier New"/>
          <w:sz w:val="20"/>
          <w:szCs w:val="20"/>
        </w:rPr>
        <w:t xml:space="preserve">OrganizationRequest</w:t>
      </w:r>
      <w:r>
        <w:rPr>
          <w:rFonts w:ascii="Arial" w:cs="Arial" w:eastAsia="Arial" w:hAnsi="Arial"/>
          <w:sz w:val="22"/>
          <w:szCs w:val="22"/>
        </w:rPr>
        <w:t xml:space="preserve"> object or call </w:t>
      </w:r>
      <w:r>
        <w:rPr>
          <w:rFonts w:ascii="Courier New" w:cs="Courier New" w:eastAsia="Courier New" w:hAnsi="Courier New"/>
          <w:sz w:val="20"/>
          <w:szCs w:val="20"/>
        </w:rPr>
        <w:t xml:space="preserve">Execute</w:t>
      </w:r>
      <w:r>
        <w:rPr>
          <w:rFonts w:ascii="Arial" w:cs="Arial" w:eastAsia="Arial" w:hAnsi="Arial"/>
          <w:sz w:val="22"/>
          <w:szCs w:val="22"/>
        </w:rPr>
        <w:t xml:space="preserve">. Every operation is expressed as a named, typed action.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4. Creating Domain-Specific Services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real power of </w:t>
      </w:r>
      <w:r>
        <w:rPr>
          <w:rFonts w:ascii="Courier New" w:cs="Courier New" w:eastAsia="Courier New" w:hAnsi="Courier New"/>
          <w:sz w:val="20"/>
          <w:szCs w:val="20"/>
        </w:rPr>
        <w:t xml:space="preserve">IService</w:t>
      </w:r>
      <w:r>
        <w:rPr>
          <w:rFonts w:ascii="Arial" w:cs="Arial" w:eastAsia="Arial" w:hAnsi="Arial"/>
          <w:sz w:val="22"/>
          <w:szCs w:val="22"/>
        </w:rPr>
        <w:t xml:space="preserve"> comes from extending it with project-specific interfaces that name operations after business concepts rather than platform primitives.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Define the Interface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new interface that extends </w:t>
      </w:r>
      <w:r>
        <w:rPr>
          <w:rFonts w:ascii="Courier New" w:cs="Courier New" w:eastAsia="Courier New" w:hAnsi="Courier New"/>
          <w:sz w:val="20"/>
          <w:szCs w:val="20"/>
        </w:rPr>
        <w:t xml:space="preserve">IService</w:t>
      </w:r>
      <w:r>
        <w:rPr>
          <w:rFonts w:ascii="Arial" w:cs="Arial" w:eastAsia="Arial" w:hAnsi="Arial"/>
          <w:sz w:val="22"/>
          <w:szCs w:val="22"/>
        </w:rPr>
        <w:t xml:space="preserve">. The method names should communicate business intent:</w:t>
      </w:r>
    </w:p>
    <w:p>
      <w:pPr>
        <w:pBdr>
          <w:top w:val="single" w:color="AEB6BF" w:sz="4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using XrmFramework;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namespace Contoso.Core.Services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interface IAccountService : IService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/// &lt;summary&gt;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/// Computes and returns the canonical account number for the given account.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/// &lt;/summary&gt;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GetAccountNumber(EntityReference accountRef);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/// &lt;summary&gt;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/// Marks the account as a premium partner and notifies the owner.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/// &lt;/summary&gt;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void PromoteToPremiumPartner(EntityReference accountRef);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top w:val="none" w:color="FFFFFF" w:sz="0"/>
          <w:left w:val="single" w:color="2E86C1" w:sz="12"/>
          <w:bottom w:val="single" w:color="AEB6BF" w:sz="4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Implement the Service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implementation class extends </w:t>
      </w:r>
      <w:r>
        <w:rPr>
          <w:rFonts w:ascii="Courier New" w:cs="Courier New" w:eastAsia="Courier New" w:hAnsi="Courier New"/>
          <w:sz w:val="20"/>
          <w:szCs w:val="20"/>
        </w:rPr>
        <w:t xml:space="preserve">DefaultService</w:t>
      </w:r>
      <w:r>
        <w:rPr>
          <w:rFonts w:ascii="Arial" w:cs="Arial" w:eastAsia="Arial" w:hAnsi="Arial"/>
          <w:sz w:val="22"/>
          <w:szCs w:val="22"/>
        </w:rPr>
        <w:t xml:space="preserve"> (which already implements </w:t>
      </w:r>
      <w:r>
        <w:rPr>
          <w:rFonts w:ascii="Courier New" w:cs="Courier New" w:eastAsia="Courier New" w:hAnsi="Courier New"/>
          <w:sz w:val="20"/>
          <w:szCs w:val="20"/>
        </w:rPr>
        <w:t xml:space="preserve">IService</w:t>
      </w:r>
      <w:r>
        <w:rPr>
          <w:rFonts w:ascii="Arial" w:cs="Arial" w:eastAsia="Arial" w:hAnsi="Arial"/>
          <w:sz w:val="22"/>
          <w:szCs w:val="22"/>
        </w:rPr>
        <w:t xml:space="preserve">) and provides the business logic. Queries and platform calls stay here, invisible to plugin code:</w:t>
      </w:r>
    </w:p>
    <w:p>
      <w:pPr>
        <w:pBdr>
          <w:top w:val="single" w:color="AEB6BF" w:sz="4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using XrmFramework;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namespace Contoso.Core.Services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class AccountService : DefaultService, IAccountService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public AccountService(IServiceContext context) : base(context) { }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public string GetAccountNumber(EntityReference accountRef)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// The query lives here — not in every plugin that needs the number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var account = AdminOrganizationService.Retrieve(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accountRef,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new ColumnSet(AccountDefinition.Columns.AccountNumber)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account.GetAttributeValue&lt;string&gt;(AccountDefinition.Columns.AccountNumber);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public void PromoteToPremiumPartner(EntityReference accountRef)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var update = new Entity(AccountDefinition.EntityName, accountRef.Id);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update[AccountDefinition.Columns.IsPremium] = true;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Update(update);   // calls IService.Update — no raw Execute needed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// Notify the owner ...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top w:val="none" w:color="FFFFFF" w:sz="0"/>
          <w:left w:val="single" w:color="2E86C1" w:sz="12"/>
          <w:bottom w:val="single" w:color="AEB6BF" w:sz="4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Impersonation Overloads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</w:t>
      </w:r>
      <w:r>
        <w:rPr>
          <w:rFonts w:ascii="Courier New" w:cs="Courier New" w:eastAsia="Courier New" w:hAnsi="Courier New"/>
          <w:sz w:val="20"/>
          <w:szCs w:val="20"/>
        </w:rPr>
        <w:t xml:space="preserve">IService</w:t>
      </w:r>
      <w:r>
        <w:rPr>
          <w:rFonts w:ascii="Arial" w:cs="Arial" w:eastAsia="Arial" w:hAnsi="Arial"/>
          <w:sz w:val="22"/>
          <w:szCs w:val="22"/>
        </w:rPr>
        <w:t xml:space="preserve"> method accepts either a </w:t>
      </w:r>
      <w:r>
        <w:rPr>
          <w:rFonts w:ascii="Courier New" w:cs="Courier New" w:eastAsia="Courier New" w:hAnsi="Courier New"/>
          <w:sz w:val="20"/>
          <w:szCs w:val="20"/>
        </w:rPr>
        <w:t xml:space="preserve">bool useAdmin</w:t>
      </w:r>
      <w:r>
        <w:rPr>
          <w:rFonts w:ascii="Arial" w:cs="Arial" w:eastAsia="Arial" w:hAnsi="Arial"/>
          <w:sz w:val="22"/>
          <w:szCs w:val="22"/>
        </w:rPr>
        <w:t xml:space="preserve"> flag or a </w:t>
      </w:r>
      <w:r>
        <w:rPr>
          <w:rFonts w:ascii="Courier New" w:cs="Courier New" w:eastAsia="Courier New" w:hAnsi="Courier New"/>
          <w:sz w:val="20"/>
          <w:szCs w:val="20"/>
        </w:rPr>
        <w:t xml:space="preserve">Guid callerId</w:t>
      </w:r>
      <w:r>
        <w:rPr>
          <w:rFonts w:ascii="Arial" w:cs="Arial" w:eastAsia="Arial" w:hAnsi="Arial"/>
          <w:sz w:val="22"/>
          <w:szCs w:val="22"/>
        </w:rPr>
        <w:t xml:space="preserve">. Services therefore handle impersonation transparently — plugin code never needs to instantiate a separate service factory:</w:t>
      </w:r>
    </w:p>
    <w:p>
      <w:pPr>
        <w:pBdr>
          <w:top w:val="single" w:color="AEB6BF" w:sz="4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Operate as the system administrator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Create(entity, useAdmin: true);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Operate as a specific user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Update(entity, callerId: ownerUserId);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Bypass downstream plugins for this write</w:t>
      </w:r>
    </w:p>
    <w:p>
      <w:pPr>
        <w:pBdr>
          <w:top w:val="none" w:color="FFFFFF" w:sz="0"/>
          <w:left w:val="single" w:color="2E86C1" w:sz="12"/>
          <w:bottom w:val="single" w:color="AEB6BF" w:sz="4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Delete(entityRef, bypassCustomPluginExecution: true);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5. Using Services in Plugins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XrmFramework plugins declare their service dependencies as method parameters. The framework resolves and injects the correct implementation automatically at runtime.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Basic Injection</w:t>
      </w:r>
    </w:p>
    <w:p>
      <w:pPr>
        <w:pBdr>
          <w:top w:val="single" w:color="AEB6BF" w:sz="4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The framework sees IAccountService and injects AccountService automatically.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No new(), no factory calls, no service locator.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void OnPreUpdate(IPluginContext context, IAccountService accountService)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number = accountService.GetAccountNumber(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new EntityReference(AccountDefinition.EntityName, context.PrimaryEntityId)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context.Log("Computed account number: {0}", number);</w:t>
      </w:r>
    </w:p>
    <w:p>
      <w:pPr>
        <w:pBdr>
          <w:top w:val="none" w:color="FFFFFF" w:sz="0"/>
          <w:left w:val="single" w:color="2E86C1" w:sz="12"/>
          <w:bottom w:val="single" w:color="AEB6BF" w:sz="4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Multiple Services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services can be declared in any order. The framework validates all parameters at plugin construction time:</w:t>
      </w:r>
    </w:p>
    <w:p>
      <w:pPr>
        <w:pBdr>
          <w:top w:val="single" w:color="AEB6BF" w:sz="4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void OnPostCreate(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IPluginContext context,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IAccountService accountService,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IContactService contactService)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accountService.PromoteToPremiumPartner(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new EntityReference(AccountDefinition.EntityName, context.PrimaryEntityId)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contactService.SendWelcomeEmail(context.InitiatingUserId);</w:t>
      </w:r>
    </w:p>
    <w:p>
      <w:pPr>
        <w:pBdr>
          <w:top w:val="none" w:color="FFFFFF" w:sz="0"/>
          <w:left w:val="single" w:color="2E86C1" w:sz="12"/>
          <w:bottom w:val="single" w:color="AEB6BF" w:sz="4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handler reads as a sequence of business actions. There is no mention of </w:t>
      </w:r>
      <w:r>
        <w:rPr>
          <w:rFonts w:ascii="Courier New" w:cs="Courier New" w:eastAsia="Courier New" w:hAnsi="Courier New"/>
          <w:sz w:val="20"/>
          <w:szCs w:val="20"/>
        </w:rPr>
        <w:t xml:space="preserve">Execute</w:t>
      </w:r>
      <w:r>
        <w:rPr>
          <w:rFonts w:ascii="Arial" w:cs="Arial" w:eastAsia="Arial" w:hAnsi="Arial"/>
          <w:sz w:val="22"/>
          <w:szCs w:val="22"/>
        </w:rPr>
        <w:t xml:space="preserve">, no </w:t>
      </w:r>
      <w:r>
        <w:rPr>
          <w:rFonts w:ascii="Courier New" w:cs="Courier New" w:eastAsia="Courier New" w:hAnsi="Courier New"/>
          <w:sz w:val="20"/>
          <w:szCs w:val="20"/>
        </w:rPr>
        <w:t xml:space="preserve">OrganizationRequest</w:t>
      </w:r>
      <w:r>
        <w:rPr>
          <w:rFonts w:ascii="Arial" w:cs="Arial" w:eastAsia="Arial" w:hAnsi="Arial"/>
          <w:sz w:val="22"/>
          <w:szCs w:val="22"/>
        </w:rPr>
        <w:t xml:space="preserve">, no manual </w:t>
      </w:r>
      <w:r>
        <w:rPr>
          <w:rFonts w:ascii="Courier New" w:cs="Courier New" w:eastAsia="Courier New" w:hAnsi="Courier New"/>
          <w:sz w:val="20"/>
          <w:szCs w:val="20"/>
        </w:rPr>
        <w:t xml:space="preserve">ColumnSet</w:t>
      </w:r>
      <w:r>
        <w:rPr>
          <w:rFonts w:ascii="Arial" w:cs="Arial" w:eastAsia="Arial" w:hAnsi="Arial"/>
          <w:sz w:val="22"/>
          <w:szCs w:val="22"/>
        </w:rPr>
        <w:t xml:space="preserve"> assembly. All of that complexity is encapsulated in the service layer, tested once, and reused everywhere.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6. Service Infrastructure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DefaultService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DefaultService</w:t>
      </w:r>
      <w:r>
        <w:rPr>
          <w:rFonts w:ascii="Arial" w:cs="Arial" w:eastAsia="Arial" w:hAnsi="Arial"/>
          <w:sz w:val="22"/>
          <w:szCs w:val="22"/>
        </w:rPr>
        <w:t xml:space="preserve"> is the ready-to-use base class for all service implementations. It receives an </w:t>
      </w:r>
      <w:r>
        <w:rPr>
          <w:rFonts w:ascii="Courier New" w:cs="Courier New" w:eastAsia="Courier New" w:hAnsi="Courier New"/>
          <w:sz w:val="20"/>
          <w:szCs w:val="20"/>
        </w:rPr>
        <w:t xml:space="preserve">IServiceContext</w:t>
      </w:r>
      <w:r>
        <w:rPr>
          <w:rFonts w:ascii="Arial" w:cs="Arial" w:eastAsia="Arial" w:hAnsi="Arial"/>
          <w:sz w:val="22"/>
          <w:szCs w:val="22"/>
        </w:rPr>
        <w:t xml:space="preserve"> in its constructor and exposes: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— acts as the triggering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— acts as the system administrator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— writes to the Dataverse trace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>, ,  — execution context metadata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Logged Service Wrappers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framework automatically generates a </w:t>
      </w:r>
      <w:r>
        <w:rPr>
          <w:rFonts w:ascii="Courier New" w:cs="Courier New" w:eastAsia="Courier New" w:hAnsi="Courier New"/>
          <w:sz w:val="20"/>
          <w:szCs w:val="20"/>
        </w:rPr>
        <w:t xml:space="preserve">LoggedI&lt;ServiceName&gt;</w:t>
      </w:r>
      <w:r>
        <w:rPr>
          <w:rFonts w:ascii="Arial" w:cs="Arial" w:eastAsia="Arial" w:hAnsi="Arial"/>
          <w:sz w:val="22"/>
          <w:szCs w:val="22"/>
        </w:rPr>
        <w:t xml:space="preserve"> wrapper for every service interface. This wrapper implements the same interface and delegates every call to the real implementation, surrounding it with timing and structured log output — at zero cost to the developer:</w:t>
      </w:r>
    </w:p>
    <w:p>
      <w:pPr>
        <w:pBdr>
          <w:top w:val="single" w:color="AEB6BF" w:sz="4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Auto-generated — never written by hand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LoggedIAccountService : LoggedServiceBase, IAccountService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GetAccountNumber(EntityReference accountRef)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var sw = Stopwatch.StartNew();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Log(nameof(GetAccountNumber), "Start: accountRef = {0}", accountRef);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var result = Service.GetAccountNumber(accountRef);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Log(nameof(GetAccountNumber), "End: duration = {0}, result = {1}",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sw.Elapsed, result);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result;</w:t>
      </w:r>
    </w:p>
    <w:p>
      <w:pPr>
        <w:pBdr>
          <w:top w:val="none" w:color="FFFFFF" w:sz="0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top w:val="none" w:color="FFFFFF" w:sz="0"/>
          <w:left w:val="single" w:color="2E86C1" w:sz="12"/>
          <w:bottom w:val="single" w:color="AEB6BF" w:sz="4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Dependency Injection Registration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Services are registered through </w:t>
      </w:r>
      <w:r>
        <w:rPr>
          <w:rFonts w:ascii="Courier New" w:cs="Courier New" w:eastAsia="Courier New" w:hAnsi="Courier New"/>
          <w:sz w:val="20"/>
          <w:szCs w:val="20"/>
        </w:rPr>
        <w:t xml:space="preserve">InternalDependencyProvider</w:t>
      </w:r>
      <w:r>
        <w:rPr>
          <w:rFonts w:ascii="Arial" w:cs="Arial" w:eastAsia="Arial" w:hAnsi="Arial"/>
          <w:sz w:val="22"/>
          <w:szCs w:val="22"/>
        </w:rPr>
        <w:t xml:space="preserve">. When a service is requested, the container instantiates the real implementation, wraps it in the logged decorator, and returns the interface:</w:t>
      </w:r>
    </w:p>
    <w:p>
      <w:pPr>
        <w:pBdr>
          <w:top w:val="single" w:color="AEB6BF" w:sz="4"/>
          <w:left w:val="single" w:color="2E86C1" w:sz="12"/>
          <w:bottom w:val="none" w:color="FFFFFF" w:sz="0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One registration line wires up the full implementation + logging chain</w:t>
      </w:r>
    </w:p>
    <w:p>
      <w:pPr>
        <w:pBdr>
          <w:top w:val="none" w:color="FFFFFF" w:sz="0"/>
          <w:left w:val="single" w:color="2E86C1" w:sz="12"/>
          <w:bottom w:val="single" w:color="AEB6BF" w:sz="4"/>
          <w:right w:val="single" w:color="AEB6BF" w:sz="4"/>
        </w:pBdr>
        <w:shd w:fill="F4F6F7" w:val="clear"/>
        <w:spacing w:after="0" w:before="0" w:line="27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RegisterService&lt;IAccountService, AccountService, LoggedIAccountService&gt;(container);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Full Inheritance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6091" w:sz="4"/>
              <w:left w:val="single" w:color="1E6091" w:sz="4"/>
              <w:bottom w:val="single" w:color="1E6091" w:sz="4"/>
              <w:right w:val="single" w:color="1E6091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1E6091" w:sz="4"/>
              <w:left w:val="single" w:color="1E6091" w:sz="4"/>
              <w:bottom w:val="single" w:color="1E6091" w:sz="4"/>
              <w:right w:val="single" w:color="1E6091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/ Role</w:t>
            </w:r>
          </w:p>
        </w:tc>
      </w:tr>
      <w:tr>
        <w:tc>
          <w:tcPr>
            <w:tcW w:type="dxa" w:w="2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IService  →  marker interface for all services</w:t>
            </w:r>
          </w:p>
        </w:tc>
      </w:tr>
      <w:tr>
        <w:tc>
          <w:tcPr>
            <w:tcW w:type="dxa" w:w="2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 interface</w:t>
            </w:r>
          </w:p>
        </w:tc>
        <w:tc>
          <w:tcPr>
            <w:tcW w:type="dxa" w:w="6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IAccountService : IService  →  exposes business operations</w:t>
            </w:r>
          </w:p>
        </w:tc>
      </w:tr>
      <w:tr>
        <w:tc>
          <w:tcPr>
            <w:tcW w:type="dxa" w:w="2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implementation</w:t>
            </w:r>
          </w:p>
        </w:tc>
        <w:tc>
          <w:tcPr>
            <w:tcW w:type="dxa" w:w="6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DefaultService : IService  →  CRUD helpers, Execute bridge (private)</w:t>
            </w:r>
          </w:p>
        </w:tc>
      </w:tr>
      <w:tr>
        <w:tc>
          <w:tcPr>
            <w:tcW w:type="dxa" w:w="2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 implementation</w:t>
            </w:r>
          </w:p>
        </w:tc>
        <w:tc>
          <w:tcPr>
            <w:tcW w:type="dxa" w:w="6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AccountService : DefaultService, IAccountService  →  query logic &amp; business rules</w:t>
            </w:r>
          </w:p>
        </w:tc>
      </w:tr>
      <w:tr>
        <w:tc>
          <w:tcPr>
            <w:tcW w:type="dxa" w:w="2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Logged wrapper</w:t>
            </w:r>
          </w:p>
        </w:tc>
        <w:tc>
          <w:tcPr>
            <w:tcW w:type="dxa" w:w="6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LoggedIAccountService : IAccountService  →  auto-generated, timing &amp; tracing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7.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IService</w:t>
      </w:r>
      <w:r>
        <w:rPr>
          <w:rFonts w:ascii="Arial" w:cs="Arial" w:eastAsia="Arial" w:hAnsi="Arial"/>
          <w:sz w:val="22"/>
          <w:szCs w:val="22"/>
        </w:rPr>
        <w:t xml:space="preserve"> abstraction is not about hiding the Dataverse platform — it is about putting knowledge in the right place. Queries, request assembly, and response parsing belong in services. Plugin handlers belong to business logic expressed in plain English method calls.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takeaways: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Execute is absent by design. </w:t>
      </w:r>
      <w:r>
        <w:rPr>
          <w:rFonts w:ascii="Arial" w:cs="Arial" w:eastAsia="Arial" w:hAnsi="Arial"/>
          <w:sz w:val="22"/>
          <w:szCs w:val="22"/>
        </w:rPr>
        <w:t xml:space="preserve">Plugin code must not build OrganizationRequests. That responsibility belongs to service implementations.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names are contracts. </w:t>
      </w:r>
      <w:r>
        <w:rPr>
          <w:rFonts w:ascii="Arial" w:cs="Arial" w:eastAsia="Arial" w:hAnsi="Arial"/>
          <w:sz w:val="22"/>
          <w:szCs w:val="22"/>
        </w:rPr>
        <w:t xml:space="preserve">Every IService method name communicates a business action, making plugin handlers self-documenting.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Queries are centralised. </w:t>
      </w:r>
      <w:r>
        <w:rPr>
          <w:rFonts w:ascii="Arial" w:cs="Arial" w:eastAsia="Arial" w:hAnsi="Arial"/>
          <w:sz w:val="22"/>
          <w:szCs w:val="22"/>
        </w:rPr>
        <w:t xml:space="preserve">A FetchXml or QueryExpression written once in a service is tested once and reused by any plugin, workflow, or custom API that needs the same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Logging is free. </w:t>
      </w:r>
      <w:r>
        <w:rPr>
          <w:rFonts w:ascii="Arial" w:cs="Arial" w:eastAsia="Arial" w:hAnsi="Arial"/>
          <w:sz w:val="22"/>
          <w:szCs w:val="22"/>
        </w:rPr>
        <w:t xml:space="preserve">The framework generates logged wrappers automatically; no boilerplate is required in service implementations.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Dependency injection is enforced. </w:t>
      </w:r>
      <w:r>
        <w:rPr>
          <w:rFonts w:ascii="Arial" w:cs="Arial" w:eastAsia="Arial" w:hAnsi="Arial"/>
          <w:sz w:val="22"/>
          <w:szCs w:val="22"/>
        </w:rPr>
        <w:t xml:space="preserve">Services arrive in plugin handlers via parameter injection; no manual instantiation is ever needed.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091" w:sz="4"/>
              <w:left w:val="single" w:color="1E6091" w:sz="4"/>
              <w:bottom w:val="single" w:color="1E6091" w:sz="4"/>
              <w:right w:val="single" w:color="1E6091" w:sz="4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6091"/>
                <w:sz w:val="22"/>
                <w:szCs w:val="22"/>
              </w:rPr>
              <w:t xml:space="preserve">Related documentation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 docs/WorkingWithServices.md — creating and registering services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 docs/Plugins.md — plugin structure, parameter injection, and images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9026"/>
      </w:tabs>
    </w:pPr>
    <w:r>
      <w:rPr>
        <w:rFonts w:ascii="Arial" w:cs="Arial" w:eastAsia="Arial" w:hAnsi="Arial"/>
        <w:color w:val="5D6D7E"/>
        <w:sz w:val="18"/>
        <w:szCs w:val="18"/>
      </w:rPr>
      <w:t xml:space="preserve">XrmFramework — IService Architecture</w:t>
    </w:r>
    <w:r>
      <w:rPr>
        <w:rFonts w:ascii="Arial" w:cs="Arial" w:eastAsia="Arial" w:hAnsi="Arial"/>
        <w:color w:val="5D6D7E"/>
        <w:sz w:val="18"/>
        <w:szCs w:val="18"/>
      </w:rPr>
      <w:t xml:space="preserve">	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/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XrmFramework — Services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6091" w:sz="6" w:space="4"/>
      </w:pBdr>
      <w:spacing w:after="200" w:before="400"/>
      <w:outlineLvl w:val="0"/>
    </w:pPr>
    <w:rPr>
      <w:rFonts w:ascii="Arial" w:cs="Arial" w:eastAsia="Arial" w:hAnsi="Arial"/>
      <w:b/>
      <w:bCs/>
      <w:color w:val="1E60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2026-04-17T15:13:50.420Z</dcterms:created>
  <dcterms:modified xsi:type="dcterms:W3CDTF">2026-04-17T15:13:50.420Z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